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CE515B">
      <w:pPr>
        <w:keepNext w:val="0"/>
        <w:keepLines w:val="0"/>
        <w:widowControl/>
        <w:suppressLineNumbers w:val="0"/>
        <w:jc w:val="center"/>
      </w:pPr>
      <w:r>
        <w:rPr>
          <w:rFonts w:ascii="华文行楷" w:hAnsi="华文行楷" w:eastAsia="华文行楷" w:cs="华文行楷"/>
          <w:b/>
          <w:bCs/>
          <w:color w:val="FF0000"/>
          <w:kern w:val="0"/>
          <w:sz w:val="136"/>
          <w:szCs w:val="136"/>
          <w:lang w:val="en-US" w:eastAsia="zh-CN" w:bidi="ar"/>
        </w:rPr>
        <w:t>质安协会简报</w:t>
      </w:r>
    </w:p>
    <w:p w14:paraId="1F468F8A">
      <w:pPr>
        <w:jc w:val="center"/>
        <w:rPr>
          <w:rFonts w:ascii="宋体" w:hAnsi="宋体"/>
          <w:b/>
          <w:color w:val="FF0000"/>
          <w:sz w:val="15"/>
          <w:szCs w:val="130"/>
          <w:shd w:val="clear" w:color="auto" w:fill="FFFFFF"/>
        </w:rPr>
      </w:pPr>
    </w:p>
    <w:p w14:paraId="3E116D1C">
      <w:pPr>
        <w:jc w:val="center"/>
        <w:rPr>
          <w:rFonts w:hint="eastAsia" w:ascii="宋体" w:hAnsi="宋体"/>
          <w:b/>
          <w:sz w:val="30"/>
          <w:szCs w:val="30"/>
          <w:shd w:val="clear" w:color="auto" w:fill="FFFFFF"/>
        </w:rPr>
      </w:pPr>
      <w:r>
        <w:rPr>
          <w:rFonts w:hint="eastAsia" w:ascii="宋体" w:hAnsi="宋体"/>
          <w:b/>
          <w:sz w:val="30"/>
          <w:szCs w:val="30"/>
          <w:shd w:val="clear" w:color="auto" w:fill="FFFFFF"/>
        </w:rPr>
        <w:t>202</w:t>
      </w:r>
      <w:r>
        <w:rPr>
          <w:rFonts w:hint="eastAsia" w:ascii="宋体" w:hAnsi="宋体"/>
          <w:b/>
          <w:sz w:val="30"/>
          <w:szCs w:val="30"/>
          <w:shd w:val="clear" w:color="auto" w:fill="FFFFFF"/>
          <w:lang w:val="en-US" w:eastAsia="zh-CN"/>
        </w:rPr>
        <w:t>6</w:t>
      </w:r>
      <w:r>
        <w:rPr>
          <w:rFonts w:hint="eastAsia" w:ascii="宋体" w:hAnsi="宋体"/>
          <w:b/>
          <w:sz w:val="30"/>
          <w:szCs w:val="30"/>
          <w:shd w:val="clear" w:color="auto" w:fill="FFFFFF"/>
        </w:rPr>
        <w:t>年</w:t>
      </w:r>
      <w:r>
        <w:rPr>
          <w:rFonts w:hint="eastAsia" w:ascii="宋体" w:hAnsi="宋体"/>
          <w:b/>
          <w:sz w:val="30"/>
          <w:szCs w:val="30"/>
          <w:shd w:val="clear" w:color="auto" w:fill="FFFFFF"/>
          <w:lang w:val="en-US" w:eastAsia="zh-CN"/>
        </w:rPr>
        <w:t>06</w:t>
      </w:r>
      <w:r>
        <w:rPr>
          <w:rFonts w:hint="eastAsia" w:ascii="宋体" w:hAnsi="宋体"/>
          <w:b/>
          <w:sz w:val="30"/>
          <w:szCs w:val="30"/>
          <w:shd w:val="clear" w:color="auto" w:fill="FFFFFF"/>
        </w:rPr>
        <w:t>月</w:t>
      </w:r>
      <w:r>
        <w:rPr>
          <w:rFonts w:hint="eastAsia" w:ascii="宋体" w:hAnsi="宋体"/>
          <w:b/>
          <w:sz w:val="30"/>
          <w:szCs w:val="30"/>
          <w:shd w:val="clear" w:color="auto" w:fill="FFFFFF"/>
          <w:lang w:val="en-US" w:eastAsia="zh-CN"/>
        </w:rPr>
        <w:t>12</w:t>
      </w:r>
      <w:r>
        <w:rPr>
          <w:rFonts w:hint="eastAsia" w:ascii="宋体" w:hAnsi="宋体"/>
          <w:b/>
          <w:sz w:val="30"/>
          <w:szCs w:val="30"/>
          <w:shd w:val="clear" w:color="auto" w:fill="FFFFFF"/>
        </w:rPr>
        <w:t>日    第</w:t>
      </w:r>
      <w:r>
        <w:rPr>
          <w:rFonts w:hint="eastAsia" w:ascii="宋体" w:hAnsi="宋体"/>
          <w:b/>
          <w:sz w:val="30"/>
          <w:szCs w:val="30"/>
          <w:shd w:val="clear" w:color="auto" w:fill="FFFFFF"/>
          <w:lang w:val="en-US" w:eastAsia="zh-CN"/>
        </w:rPr>
        <w:t>03</w:t>
      </w:r>
      <w:r>
        <w:rPr>
          <w:rFonts w:hint="eastAsia" w:ascii="宋体" w:hAnsi="宋体"/>
          <w:b/>
          <w:sz w:val="30"/>
          <w:szCs w:val="30"/>
          <w:shd w:val="clear" w:color="auto" w:fill="FFFFFF"/>
        </w:rPr>
        <w:t>期(总第</w:t>
      </w:r>
      <w:r>
        <w:rPr>
          <w:rFonts w:hint="eastAsia" w:ascii="宋体" w:hAnsi="宋体"/>
          <w:b/>
          <w:sz w:val="30"/>
          <w:szCs w:val="30"/>
          <w:shd w:val="clear" w:color="auto" w:fill="FFFFFF"/>
          <w:lang w:val="en-US" w:eastAsia="zh-CN"/>
        </w:rPr>
        <w:t>143</w:t>
      </w:r>
      <w:r>
        <w:rPr>
          <w:rFonts w:hint="eastAsia" w:ascii="宋体" w:hAnsi="宋体"/>
          <w:b/>
          <w:sz w:val="30"/>
          <w:szCs w:val="30"/>
          <w:shd w:val="clear" w:color="auto" w:fill="FFFFFF"/>
        </w:rPr>
        <w:t>期)    秘书处编印</w:t>
      </w:r>
    </w:p>
    <w:p w14:paraId="2958E48C">
      <w:pPr>
        <w:jc w:val="center"/>
        <w:rPr>
          <w:rFonts w:ascii="宋体" w:hAnsi="宋体"/>
        </w:rPr>
      </w:pPr>
      <w:r>
        <w:rPr>
          <w:rFonts w:ascii="宋体" w:hAnsi="宋体"/>
        </w:rPr>
        <w:fldChar w:fldCharType="begin"/>
      </w:r>
      <w:r>
        <w:rPr>
          <w:rFonts w:ascii="宋体" w:hAnsi="宋体"/>
        </w:rPr>
        <w:instrText xml:space="preserve"> INCLUDEPICTURE "C:\\Users\\PC2310~1\\AppData\\Local\\Temp\\ksohtml10964\\wps1.png" \* MERGEFORMATINET </w:instrText>
      </w:r>
      <w:r>
        <w:rPr>
          <w:rFonts w:ascii="宋体" w:hAnsi="宋体"/>
        </w:rPr>
        <w:fldChar w:fldCharType="separate"/>
      </w:r>
      <w:r>
        <w:rPr>
          <w:rFonts w:ascii="宋体" w:hAnsi="宋体"/>
        </w:rPr>
        <w:drawing>
          <wp:inline distT="0" distB="0" distL="114300" distR="114300">
            <wp:extent cx="5332730" cy="38100"/>
            <wp:effectExtent l="0" t="0" r="1270" b="0"/>
            <wp:docPr id="4" name="图片 2"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wps1"/>
                    <pic:cNvPicPr>
                      <a:picLocks noChangeAspect="1"/>
                    </pic:cNvPicPr>
                  </pic:nvPicPr>
                  <pic:blipFill>
                    <a:blip r:embed="rId4"/>
                    <a:stretch>
                      <a:fillRect/>
                    </a:stretch>
                  </pic:blipFill>
                  <pic:spPr>
                    <a:xfrm>
                      <a:off x="0" y="0"/>
                      <a:ext cx="5332730" cy="38100"/>
                    </a:xfrm>
                    <a:prstGeom prst="rect">
                      <a:avLst/>
                    </a:prstGeom>
                    <a:noFill/>
                    <a:ln>
                      <a:noFill/>
                    </a:ln>
                  </pic:spPr>
                </pic:pic>
              </a:graphicData>
            </a:graphic>
          </wp:inline>
        </w:drawing>
      </w:r>
      <w:r>
        <w:rPr>
          <w:rFonts w:ascii="宋体" w:hAnsi="宋体"/>
        </w:rPr>
        <w:fldChar w:fldCharType="end"/>
      </w:r>
    </w:p>
    <w:p w14:paraId="214A4383">
      <w:pPr>
        <w:tabs>
          <w:tab w:val="left" w:pos="1503"/>
        </w:tabs>
        <w:bidi w:val="0"/>
        <w:jc w:val="center"/>
        <w:rPr>
          <w:rFonts w:hint="eastAsia" w:asciiTheme="majorEastAsia" w:hAnsiTheme="majorEastAsia" w:eastAsiaTheme="majorEastAsia" w:cstheme="majorEastAsia"/>
          <w:b/>
          <w:bCs/>
          <w:i w:val="0"/>
          <w:iCs w:val="0"/>
          <w:caps w:val="0"/>
          <w:color w:val="000000"/>
          <w:spacing w:val="0"/>
          <w:sz w:val="32"/>
          <w:szCs w:val="32"/>
          <w:lang w:val="en-US" w:eastAsia="zh-CN"/>
        </w:rPr>
      </w:pPr>
      <w:r>
        <w:rPr>
          <w:rFonts w:hint="default" w:asciiTheme="majorEastAsia" w:hAnsiTheme="majorEastAsia" w:eastAsiaTheme="majorEastAsia" w:cstheme="majorEastAsia"/>
          <w:b/>
          <w:bCs/>
          <w:i w:val="0"/>
          <w:iCs w:val="0"/>
          <w:caps w:val="0"/>
          <w:color w:val="000000"/>
          <w:spacing w:val="0"/>
          <w:sz w:val="32"/>
          <w:szCs w:val="32"/>
          <w:lang w:val="en-US" w:eastAsia="zh-CN"/>
        </w:rPr>
        <w:t>隐患零容忍、危大严管控、机械全合规</w:t>
      </w:r>
      <w:r>
        <w:rPr>
          <w:rFonts w:hint="eastAsia" w:asciiTheme="majorEastAsia" w:hAnsiTheme="majorEastAsia" w:eastAsiaTheme="majorEastAsia" w:cstheme="majorEastAsia"/>
          <w:b/>
          <w:bCs/>
          <w:i w:val="0"/>
          <w:iCs w:val="0"/>
          <w:caps w:val="0"/>
          <w:color w:val="000000"/>
          <w:spacing w:val="0"/>
          <w:sz w:val="32"/>
          <w:szCs w:val="32"/>
          <w:lang w:val="en-US" w:eastAsia="zh-CN"/>
        </w:rPr>
        <w:t xml:space="preserve"> —— 协会圆满完成2026年安全生产月建筑安全专题培训工作</w:t>
      </w:r>
    </w:p>
    <w:p w14:paraId="476F4CF4">
      <w:pPr>
        <w:tabs>
          <w:tab w:val="left" w:pos="1503"/>
        </w:tabs>
        <w:bidi w:val="0"/>
        <w:jc w:val="center"/>
        <w:rPr>
          <w:rFonts w:hint="default" w:asciiTheme="majorEastAsia" w:hAnsiTheme="majorEastAsia" w:eastAsiaTheme="majorEastAsia" w:cstheme="majorEastAsia"/>
          <w:b/>
          <w:bCs/>
          <w:i w:val="0"/>
          <w:iCs w:val="0"/>
          <w:caps w:val="0"/>
          <w:color w:val="000000"/>
          <w:spacing w:val="0"/>
          <w:sz w:val="32"/>
          <w:szCs w:val="32"/>
          <w:lang w:val="en-US" w:eastAsia="zh-CN"/>
        </w:rPr>
      </w:pPr>
      <w:r>
        <w:rPr>
          <w:rFonts w:hint="default" w:asciiTheme="majorEastAsia" w:hAnsiTheme="majorEastAsia" w:eastAsiaTheme="majorEastAsia" w:cstheme="majorEastAsia"/>
          <w:b/>
          <w:bCs/>
          <w:i w:val="0"/>
          <w:iCs w:val="0"/>
          <w:caps w:val="0"/>
          <w:color w:val="000000"/>
          <w:spacing w:val="0"/>
          <w:sz w:val="32"/>
          <w:szCs w:val="32"/>
          <w:lang w:val="en-US" w:eastAsia="zh-CN"/>
        </w:rPr>
        <w:drawing>
          <wp:inline distT="0" distB="0" distL="114300" distR="114300">
            <wp:extent cx="5263515" cy="3945890"/>
            <wp:effectExtent l="0" t="0" r="13335" b="16510"/>
            <wp:docPr id="3" name="图片 3" descr="111"/>
            <wp:cNvGraphicFramePr/>
            <a:graphic xmlns:a="http://schemas.openxmlformats.org/drawingml/2006/main">
              <a:graphicData uri="http://schemas.openxmlformats.org/drawingml/2006/picture">
                <pic:pic xmlns:pic="http://schemas.openxmlformats.org/drawingml/2006/picture">
                  <pic:nvPicPr>
                    <pic:cNvPr id="3" name="图片 3" descr="111"/>
                    <pic:cNvPicPr/>
                  </pic:nvPicPr>
                  <pic:blipFill>
                    <a:blip r:embed="rId5"/>
                    <a:stretch>
                      <a:fillRect/>
                    </a:stretch>
                  </pic:blipFill>
                  <pic:spPr>
                    <a:xfrm>
                      <a:off x="0" y="0"/>
                      <a:ext cx="5263515" cy="3945890"/>
                    </a:xfrm>
                    <a:prstGeom prst="rect">
                      <a:avLst/>
                    </a:prstGeom>
                  </pic:spPr>
                </pic:pic>
              </a:graphicData>
            </a:graphic>
          </wp:inline>
        </w:drawing>
      </w:r>
    </w:p>
    <w:p w14:paraId="0218B12C">
      <w:pPr>
        <w:ind w:firstLine="560" w:firstLineChars="200"/>
        <w:rPr>
          <w:rFonts w:hint="eastAsia"/>
          <w:color w:val="auto"/>
          <w:sz w:val="28"/>
          <w:szCs w:val="28"/>
        </w:rPr>
      </w:pPr>
      <w:r>
        <w:rPr>
          <w:rFonts w:hint="eastAsia"/>
          <w:color w:val="auto"/>
          <w:sz w:val="28"/>
          <w:szCs w:val="28"/>
        </w:rPr>
        <w:t>2026年是第25个全国“安全生产月”，活动主题为人人讲安全、个个会应急——排查整治风险隐患。为扎实推进全国“安全生产月”活动开展，严格落实住建部、省建设厅安全生产相关文件要求，进一步强化危大工程管控、规范施工机械安全管理、提升从业人员隐患治理能力，全力预控防范安全生产事故</w:t>
      </w:r>
      <w:r>
        <w:rPr>
          <w:rFonts w:hint="eastAsia"/>
          <w:color w:val="auto"/>
          <w:sz w:val="28"/>
          <w:szCs w:val="28"/>
          <w:lang w:eastAsia="zh-CN"/>
        </w:rPr>
        <w:t>。</w:t>
      </w:r>
      <w:r>
        <w:rPr>
          <w:rFonts w:hint="eastAsia"/>
          <w:color w:val="auto"/>
          <w:sz w:val="28"/>
          <w:szCs w:val="28"/>
        </w:rPr>
        <w:t>2026年6月9日，杭州市建设工程质量安全管理协会举办“隐患零容忍、危大严管控、机械全合规”专题安全培训班。本次培训</w:t>
      </w:r>
      <w:r>
        <w:rPr>
          <w:rFonts w:hint="eastAsia"/>
          <w:color w:val="auto"/>
          <w:sz w:val="28"/>
          <w:szCs w:val="28"/>
          <w:u w:val="none"/>
        </w:rPr>
        <w:t>共</w:t>
      </w:r>
      <w:r>
        <w:rPr>
          <w:rFonts w:hint="eastAsia"/>
          <w:color w:val="auto"/>
          <w:sz w:val="28"/>
          <w:szCs w:val="28"/>
        </w:rPr>
        <w:t>265名行业从业人员参训，涵盖施工、监理、机械租赁等企业安全负责人、项目经理及现场管理人员，培训覆盖面广、针对性强。​</w:t>
      </w:r>
    </w:p>
    <w:p w14:paraId="3959EAD6">
      <w:pPr>
        <w:ind w:firstLine="560" w:firstLineChars="200"/>
        <w:rPr>
          <w:rFonts w:hint="eastAsia"/>
          <w:sz w:val="28"/>
          <w:szCs w:val="28"/>
        </w:rPr>
      </w:pPr>
      <w:r>
        <w:rPr>
          <w:rFonts w:hint="eastAsia"/>
          <w:sz w:val="28"/>
          <w:szCs w:val="28"/>
        </w:rPr>
        <w:t>本次培训由杭州市建设工程质量安全监督总站总师科</w:t>
      </w:r>
      <w:r>
        <w:rPr>
          <w:rFonts w:hint="eastAsia"/>
          <w:sz w:val="28"/>
          <w:szCs w:val="28"/>
          <w:lang w:val="en-US" w:eastAsia="zh-CN"/>
        </w:rPr>
        <w:t>科长</w:t>
      </w:r>
      <w:r>
        <w:rPr>
          <w:rFonts w:hint="eastAsia"/>
          <w:sz w:val="28"/>
          <w:szCs w:val="28"/>
        </w:rPr>
        <w:t>黄高亮主持。他通报了省市住建部门暗访发现的隐患排查不精准、标准落实不到位、现场隐患多发等突出问题，结合近期2024版重大隐患判定标准、省危大工程实施细则、施工机械安全专项整治等重点工作要求，阐明本次培训的核心目的。他要求全体学员严守培训纪律、认真研学思考，坚持学以致用，切实提升现场安全管控实操能力，并简要介绍了本次授课专家厉天数、陈安军的专业资历。</w:t>
      </w:r>
    </w:p>
    <w:p w14:paraId="431BE9B4">
      <w:pPr>
        <w:ind w:firstLine="560" w:firstLineChars="200"/>
        <w:rPr>
          <w:rFonts w:hint="eastAsia"/>
          <w:color w:val="auto"/>
          <w:sz w:val="28"/>
          <w:szCs w:val="28"/>
        </w:rPr>
      </w:pPr>
      <w:r>
        <w:rPr>
          <w:rFonts w:hint="eastAsia"/>
          <w:sz w:val="28"/>
          <w:szCs w:val="28"/>
        </w:rPr>
        <w:drawing>
          <wp:anchor distT="0" distB="0" distL="114300" distR="114300" simplePos="0" relativeHeight="251659264" behindDoc="0" locked="0" layoutInCell="1" allowOverlap="1">
            <wp:simplePos x="0" y="0"/>
            <wp:positionH relativeFrom="column">
              <wp:posOffset>41275</wp:posOffset>
            </wp:positionH>
            <wp:positionV relativeFrom="paragraph">
              <wp:posOffset>113030</wp:posOffset>
            </wp:positionV>
            <wp:extent cx="2156460" cy="2552700"/>
            <wp:effectExtent l="0" t="0" r="15240" b="0"/>
            <wp:wrapSquare wrapText="bothSides"/>
            <wp:docPr id="8" name="图片 8" descr="微信图片_20260610153513_722_133"/>
            <wp:cNvGraphicFramePr/>
            <a:graphic xmlns:a="http://schemas.openxmlformats.org/drawingml/2006/main">
              <a:graphicData uri="http://schemas.openxmlformats.org/drawingml/2006/picture">
                <pic:pic xmlns:pic="http://schemas.openxmlformats.org/drawingml/2006/picture">
                  <pic:nvPicPr>
                    <pic:cNvPr id="8" name="图片 8" descr="微信图片_20260610153513_722_133"/>
                    <pic:cNvPicPr/>
                  </pic:nvPicPr>
                  <pic:blipFill>
                    <a:blip r:embed="rId6"/>
                    <a:stretch>
                      <a:fillRect/>
                    </a:stretch>
                  </pic:blipFill>
                  <pic:spPr>
                    <a:xfrm>
                      <a:off x="0" y="0"/>
                      <a:ext cx="2156460" cy="2552700"/>
                    </a:xfrm>
                    <a:prstGeom prst="rect">
                      <a:avLst/>
                    </a:prstGeom>
                  </pic:spPr>
                </pic:pic>
              </a:graphicData>
            </a:graphic>
          </wp:anchor>
        </w:drawing>
      </w:r>
      <w:r>
        <w:rPr>
          <w:rFonts w:hint="eastAsia"/>
          <w:sz w:val="28"/>
          <w:szCs w:val="28"/>
        </w:rPr>
        <w:t>随后，杭州市建设工程质量安全监督总站熊永光副站长作指导讲话。他表示，当前建筑施工安全生产形势严峻，省市住建领域“除险保安、破难攻坚”专项整治持续推进，施工现场隐患多发、管控薄弱等问题依然突出，本次专题培训贴合监管刚需、十分及时必要。熊站对两位授课专家的专业赋能与辛勤授课表示感谢，并对全体参训学员提出明确要求：一是提高思想认识，主动适应当前安全监管高压态势，摒弃形式化安全管理，深刻吸取各类安全事故教训，对标新规新标补齐安全管理短板；二是深学吃透政策，重点掌握重大事故隐患判定标</w:t>
      </w:r>
      <w:r>
        <w:rPr>
          <w:rFonts w:hint="eastAsia"/>
          <w:color w:val="auto"/>
          <w:sz w:val="28"/>
          <w:szCs w:val="28"/>
        </w:rPr>
        <w:t>准、危大工程实施细则、施工机械专项整治等核心内容，熟练掌握隐患排查、方案管控、应急处置实操能力；三是坚持学以致用、务求实效，严守培训纪律、认真研学思考，切实将培训所学落地到施工现场管控中，层层压实企业主体责任与岗位履职责任，全力防范化解重大安全风险，从源头预控防范安全生产事故</w:t>
      </w:r>
      <w:r>
        <w:rPr>
          <w:rFonts w:hint="eastAsia"/>
          <w:color w:val="auto"/>
          <w:sz w:val="28"/>
          <w:szCs w:val="28"/>
          <w:lang w:eastAsia="zh-CN"/>
        </w:rPr>
        <w:t>，</w:t>
      </w:r>
      <w:r>
        <w:rPr>
          <w:rFonts w:hint="eastAsia"/>
          <w:color w:val="auto"/>
          <w:sz w:val="28"/>
          <w:szCs w:val="28"/>
        </w:rPr>
        <w:t>坚决守住建筑施工安全生产底线。​</w:t>
      </w:r>
    </w:p>
    <w:p w14:paraId="04B3CB03">
      <w:pPr>
        <w:ind w:firstLine="560" w:firstLineChars="200"/>
        <w:rPr>
          <w:rFonts w:hint="eastAsia"/>
          <w:sz w:val="28"/>
          <w:szCs w:val="28"/>
        </w:rPr>
      </w:pPr>
      <w:r>
        <w:rPr>
          <w:rFonts w:hint="eastAsia"/>
          <w:sz w:val="28"/>
          <w:szCs w:val="28"/>
        </w:rPr>
        <w:drawing>
          <wp:anchor distT="0" distB="0" distL="114300" distR="114300" simplePos="0" relativeHeight="251661312" behindDoc="1" locked="0" layoutInCell="1" allowOverlap="1">
            <wp:simplePos x="0" y="0"/>
            <wp:positionH relativeFrom="column">
              <wp:posOffset>-76200</wp:posOffset>
            </wp:positionH>
            <wp:positionV relativeFrom="paragraph">
              <wp:posOffset>4464050</wp:posOffset>
            </wp:positionV>
            <wp:extent cx="2912110" cy="2156460"/>
            <wp:effectExtent l="0" t="0" r="2540" b="15240"/>
            <wp:wrapTight wrapText="bothSides">
              <wp:wrapPolygon>
                <wp:start x="0" y="0"/>
                <wp:lineTo x="0" y="21371"/>
                <wp:lineTo x="21478" y="21371"/>
                <wp:lineTo x="21478" y="0"/>
                <wp:lineTo x="0" y="0"/>
              </wp:wrapPolygon>
            </wp:wrapTight>
            <wp:docPr id="11" name="图片 11" descr="3(2)"/>
            <wp:cNvGraphicFramePr/>
            <a:graphic xmlns:a="http://schemas.openxmlformats.org/drawingml/2006/main">
              <a:graphicData uri="http://schemas.openxmlformats.org/drawingml/2006/picture">
                <pic:pic xmlns:pic="http://schemas.openxmlformats.org/drawingml/2006/picture">
                  <pic:nvPicPr>
                    <pic:cNvPr id="11" name="图片 11" descr="3(2)"/>
                    <pic:cNvPicPr/>
                  </pic:nvPicPr>
                  <pic:blipFill>
                    <a:blip r:embed="rId7"/>
                    <a:stretch>
                      <a:fillRect/>
                    </a:stretch>
                  </pic:blipFill>
                  <pic:spPr>
                    <a:xfrm>
                      <a:off x="0" y="0"/>
                      <a:ext cx="2912110" cy="2156460"/>
                    </a:xfrm>
                    <a:prstGeom prst="rect">
                      <a:avLst/>
                    </a:prstGeom>
                  </pic:spPr>
                </pic:pic>
              </a:graphicData>
            </a:graphic>
          </wp:anchor>
        </w:drawing>
      </w:r>
      <w:r>
        <w:rPr>
          <w:rFonts w:hint="eastAsia"/>
          <w:sz w:val="28"/>
          <w:szCs w:val="28"/>
        </w:rPr>
        <w:drawing>
          <wp:anchor distT="0" distB="0" distL="114300" distR="114300" simplePos="0" relativeHeight="251660288" behindDoc="0" locked="0" layoutInCell="1" allowOverlap="1">
            <wp:simplePos x="0" y="0"/>
            <wp:positionH relativeFrom="column">
              <wp:posOffset>2336800</wp:posOffset>
            </wp:positionH>
            <wp:positionV relativeFrom="paragraph">
              <wp:posOffset>124460</wp:posOffset>
            </wp:positionV>
            <wp:extent cx="2912110" cy="2156460"/>
            <wp:effectExtent l="0" t="0" r="2540" b="15240"/>
            <wp:wrapSquare wrapText="bothSides"/>
            <wp:docPr id="9" name="图片 9" descr="2"/>
            <wp:cNvGraphicFramePr/>
            <a:graphic xmlns:a="http://schemas.openxmlformats.org/drawingml/2006/main">
              <a:graphicData uri="http://schemas.openxmlformats.org/drawingml/2006/picture">
                <pic:pic xmlns:pic="http://schemas.openxmlformats.org/drawingml/2006/picture">
                  <pic:nvPicPr>
                    <pic:cNvPr id="9" name="图片 9" descr="2"/>
                    <pic:cNvPicPr/>
                  </pic:nvPicPr>
                  <pic:blipFill>
                    <a:blip r:embed="rId8"/>
                    <a:stretch>
                      <a:fillRect/>
                    </a:stretch>
                  </pic:blipFill>
                  <pic:spPr>
                    <a:xfrm>
                      <a:off x="0" y="0"/>
                      <a:ext cx="2912110" cy="2156460"/>
                    </a:xfrm>
                    <a:prstGeom prst="rect">
                      <a:avLst/>
                    </a:prstGeom>
                  </pic:spPr>
                </pic:pic>
              </a:graphicData>
            </a:graphic>
          </wp:anchor>
        </w:drawing>
      </w:r>
      <w:r>
        <w:rPr>
          <w:rFonts w:hint="eastAsia"/>
          <w:sz w:val="28"/>
          <w:szCs w:val="28"/>
        </w:rPr>
        <w:t>本次培训内容紧扣当前监管重点和施工现场刚需，分上、下午开展系统化专题授课。上午，厉天数</w:t>
      </w:r>
      <w:r>
        <w:rPr>
          <w:rFonts w:hint="eastAsia"/>
          <w:sz w:val="28"/>
          <w:szCs w:val="28"/>
          <w:lang w:val="en-US" w:eastAsia="zh-CN"/>
        </w:rPr>
        <w:t>专家</w:t>
      </w:r>
      <w:r>
        <w:rPr>
          <w:rFonts w:hint="eastAsia"/>
          <w:sz w:val="28"/>
          <w:szCs w:val="28"/>
        </w:rPr>
        <w:t>重点解读两大核心新规，一是细致讲解《房屋市政工程生产安全重大事故隐患判定标准（2024版</w:t>
      </w:r>
      <w:r>
        <w:rPr>
          <w:rFonts w:hint="eastAsia"/>
          <w:sz w:val="28"/>
          <w:szCs w:val="28"/>
          <w:lang w:eastAsia="zh-CN"/>
        </w:rPr>
        <w:t>）</w:t>
      </w:r>
      <w:r>
        <w:rPr>
          <w:rFonts w:hint="eastAsia"/>
          <w:sz w:val="28"/>
          <w:szCs w:val="28"/>
        </w:rPr>
        <w:t>》，明确高频重大隐患辨识要点、自查流程及闭环整改标准，指导企业精准排查、科学治理重大隐患；二是全面宣贯《浙江省房屋建筑和市政基础设施工程危险性较大的分部分项工程安全管理实施细则》，清晰界定危大工程范围，细化专项方案编制、审核、论证、监测、验收全流程要求，进一步明确建设、施工、监理各方主体安全职责。下午，陈安军</w:t>
      </w:r>
      <w:r>
        <w:rPr>
          <w:rFonts w:hint="eastAsia"/>
          <w:sz w:val="28"/>
          <w:szCs w:val="28"/>
          <w:lang w:val="en-US" w:eastAsia="zh-CN"/>
        </w:rPr>
        <w:t>专家</w:t>
      </w:r>
      <w:r>
        <w:rPr>
          <w:rFonts w:hint="eastAsia"/>
          <w:sz w:val="28"/>
          <w:szCs w:val="28"/>
        </w:rPr>
        <w:t>围绕全省施工机械安全专项整治工作要求开展授课，聚焦建筑起重机械、土方机械、桩工机械、登高机械等常用设备，系统讲解机械常见隐患、风险防控要点及规范管理要求，并结合全国各地典型施工机械事故案例深度剖析，直观梳理现场管控漏洞、应急处置短板，明确一线机械安全管理、风险防范、应急处置实操要点，有效补齐了现场机械安全管理短板。​</w:t>
      </w:r>
    </w:p>
    <w:p w14:paraId="4D1CD758">
      <w:pPr>
        <w:ind w:firstLine="560" w:firstLineChars="200"/>
        <w:rPr>
          <w:rFonts w:hint="eastAsia"/>
          <w:color w:val="auto"/>
          <w:sz w:val="28"/>
          <w:szCs w:val="28"/>
        </w:rPr>
      </w:pPr>
      <w:r>
        <w:rPr>
          <w:rFonts w:hint="eastAsia"/>
          <w:color w:val="auto"/>
          <w:sz w:val="28"/>
          <w:szCs w:val="28"/>
        </w:rPr>
        <w:t>本次培训政策解读权威、案例贴合实际、内容务实管用，有效解决了一线管理人员对新规理解不深、隐患判定不准、机械管理不规范等问题，进一步夯实了从业人员安全管理能力，强化了全市建筑施工领域红线意识和底线思维</w:t>
      </w:r>
      <w:r>
        <w:rPr>
          <w:rFonts w:hint="eastAsia"/>
          <w:color w:val="auto"/>
          <w:sz w:val="28"/>
          <w:szCs w:val="28"/>
          <w:lang w:eastAsia="zh-CN"/>
        </w:rPr>
        <w:t>，</w:t>
      </w:r>
      <w:r>
        <w:rPr>
          <w:rFonts w:hint="eastAsia"/>
          <w:color w:val="auto"/>
          <w:sz w:val="28"/>
          <w:szCs w:val="28"/>
        </w:rPr>
        <w:t>为常态化预控防范安全生产事故打下坚实基础。下一步，杭州市建设工程质量安全管理协会将持续紧扣省市住建安全工作部署，常态化开展政策宣贯、专业培训和隐患科普服务，持续助力全市房屋市政工程安全生产形势平稳向好。​</w:t>
      </w:r>
    </w:p>
    <w:p w14:paraId="07F96AA3">
      <w:pPr>
        <w:ind w:firstLine="560" w:firstLineChars="200"/>
        <w:rPr>
          <w:rFonts w:hint="eastAsia"/>
          <w:sz w:val="28"/>
          <w:szCs w:val="28"/>
        </w:rPr>
      </w:pPr>
    </w:p>
    <w:p w14:paraId="43738208">
      <w:pPr>
        <w:ind w:firstLine="560" w:firstLineChars="200"/>
        <w:rPr>
          <w:rFonts w:hint="eastAsia"/>
          <w:sz w:val="28"/>
          <w:szCs w:val="28"/>
        </w:rPr>
      </w:pPr>
    </w:p>
    <w:p w14:paraId="3F2D3FE0">
      <w:pPr>
        <w:ind w:firstLine="3920" w:firstLineChars="1400"/>
        <w:rPr>
          <w:rFonts w:hint="eastAsia"/>
          <w:sz w:val="28"/>
          <w:szCs w:val="28"/>
        </w:rPr>
      </w:pPr>
      <w:r>
        <w:rPr>
          <w:rFonts w:hint="eastAsia"/>
          <w:sz w:val="28"/>
          <w:szCs w:val="28"/>
        </w:rPr>
        <w:t>杭州市建设工程质量安全管理协会</w:t>
      </w:r>
    </w:p>
    <w:p w14:paraId="5A916FB7">
      <w:pPr>
        <w:ind w:firstLine="5320" w:firstLineChars="1900"/>
        <w:rPr>
          <w:sz w:val="28"/>
          <w:szCs w:val="28"/>
        </w:rPr>
      </w:pPr>
      <w:r>
        <w:rPr>
          <w:rFonts w:hint="eastAsia"/>
          <w:sz w:val="28"/>
          <w:szCs w:val="28"/>
        </w:rPr>
        <w:t>2026年6月</w:t>
      </w:r>
      <w:r>
        <w:rPr>
          <w:rFonts w:hint="eastAsia"/>
          <w:sz w:val="28"/>
          <w:szCs w:val="28"/>
          <w:lang w:val="en-US" w:eastAsia="zh-CN"/>
        </w:rPr>
        <w:t>12</w:t>
      </w:r>
      <w:r>
        <w:rPr>
          <w:rFonts w:hint="eastAsia"/>
          <w:sz w:val="28"/>
          <w:szCs w:val="28"/>
        </w:rPr>
        <w:t>日</w:t>
      </w:r>
      <w:bookmarkStart w:id="0" w:name="_GoBack"/>
      <w:bookmarkEnd w:id="0"/>
    </w:p>
    <w:p w14:paraId="0594FBD1">
      <w:pPr>
        <w:bidi w:val="0"/>
        <w:rPr>
          <w:rFonts w:hint="default" w:asciiTheme="majorEastAsia" w:hAnsiTheme="majorEastAsia" w:eastAsiaTheme="majorEastAsia" w:cstheme="majorEastAsia"/>
          <w:kern w:val="2"/>
          <w:sz w:val="28"/>
          <w:szCs w:val="28"/>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行楷">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95538E"/>
    <w:rsid w:val="02723264"/>
    <w:rsid w:val="03D55951"/>
    <w:rsid w:val="0595538E"/>
    <w:rsid w:val="06C8602D"/>
    <w:rsid w:val="08C87576"/>
    <w:rsid w:val="0B193AC9"/>
    <w:rsid w:val="0BEA2263"/>
    <w:rsid w:val="0DBC0D45"/>
    <w:rsid w:val="0E7E0566"/>
    <w:rsid w:val="0FF00FEF"/>
    <w:rsid w:val="12937879"/>
    <w:rsid w:val="14E53114"/>
    <w:rsid w:val="154D3629"/>
    <w:rsid w:val="161166BB"/>
    <w:rsid w:val="193E101D"/>
    <w:rsid w:val="1AEF5C10"/>
    <w:rsid w:val="1CC80169"/>
    <w:rsid w:val="1DB509D5"/>
    <w:rsid w:val="235864B8"/>
    <w:rsid w:val="23941CED"/>
    <w:rsid w:val="23E100C3"/>
    <w:rsid w:val="23F97A31"/>
    <w:rsid w:val="29B01CE4"/>
    <w:rsid w:val="2B284BC4"/>
    <w:rsid w:val="321A5EBA"/>
    <w:rsid w:val="35C51424"/>
    <w:rsid w:val="36346010"/>
    <w:rsid w:val="38871BC6"/>
    <w:rsid w:val="38B85B40"/>
    <w:rsid w:val="3C862C4F"/>
    <w:rsid w:val="3CEC29BB"/>
    <w:rsid w:val="3FAC23D9"/>
    <w:rsid w:val="42DC67E7"/>
    <w:rsid w:val="48401E0D"/>
    <w:rsid w:val="48943F06"/>
    <w:rsid w:val="4D075FF3"/>
    <w:rsid w:val="513F6060"/>
    <w:rsid w:val="562B563D"/>
    <w:rsid w:val="58094B4F"/>
    <w:rsid w:val="5E49250D"/>
    <w:rsid w:val="5EC45F93"/>
    <w:rsid w:val="5F5244A8"/>
    <w:rsid w:val="5F57784A"/>
    <w:rsid w:val="5FE40A36"/>
    <w:rsid w:val="5FE943AF"/>
    <w:rsid w:val="625E6EBB"/>
    <w:rsid w:val="657B3CAA"/>
    <w:rsid w:val="65A00478"/>
    <w:rsid w:val="665E730C"/>
    <w:rsid w:val="66F81DD8"/>
    <w:rsid w:val="67145FB3"/>
    <w:rsid w:val="674C13C9"/>
    <w:rsid w:val="676D221E"/>
    <w:rsid w:val="68BE7511"/>
    <w:rsid w:val="6A1A2FF4"/>
    <w:rsid w:val="6D1D2EAC"/>
    <w:rsid w:val="6F5C7500"/>
    <w:rsid w:val="6FE27182"/>
    <w:rsid w:val="717866E1"/>
    <w:rsid w:val="74707E52"/>
    <w:rsid w:val="75C872D8"/>
    <w:rsid w:val="7B7D727F"/>
    <w:rsid w:val="7C2927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1532</Words>
  <Characters>1562</Characters>
  <Lines>0</Lines>
  <Paragraphs>0</Paragraphs>
  <TotalTime>80</TotalTime>
  <ScaleCrop>false</ScaleCrop>
  <LinksUpToDate>false</LinksUpToDate>
  <CharactersWithSpaces>1572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2025-03-26T13:52:00Z</dcterms:created>
  <dc:creator>我想做个安静的美少女</dc:creator>
  <cp:lastModifiedBy>方向</cp:lastModifiedBy>
  <dcterms:modified xsi:type="dcterms:W3CDTF">2026-06-12T02:38:10Z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CAD204844C4B4C5B9FB2CD6FE4677355_11</vt:lpwstr>
  </property>
  <property fmtid="{D5CDD505-2E9C-101B-9397-08002B2CF9AE}" pid="4" name="KSOTemplateDocerSaveRecord">
    <vt:lpwstr>eyJoZGlkIjoiZmUwODllMWI0NGM0YzEyNTQzZGFkNGVkNjFmMWRjMTUiLCJ1c2VySWQiOiIzNjI0MjgyMjQifQ==</vt:lpwstr>
  </property>
</Properties>
</file>