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68203">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黑体" w:hAnsi="黑体" w:eastAsia="黑体" w:cs="黑体"/>
          <w:b/>
          <w:bCs/>
          <w:i w:val="0"/>
          <w:caps w:val="0"/>
          <w:color w:val="auto"/>
          <w:spacing w:val="0"/>
          <w:sz w:val="36"/>
          <w:szCs w:val="36"/>
          <w:u w:val="none"/>
          <w:shd w:val="clear" w:fill="FFFFFF"/>
          <w:lang w:val="en-US" w:eastAsia="zh-CN"/>
        </w:rPr>
      </w:pPr>
    </w:p>
    <w:p w14:paraId="2A73D3E5">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黑体" w:hAnsi="黑体" w:eastAsia="黑体" w:cs="黑体"/>
          <w:b/>
          <w:bCs/>
          <w:i w:val="0"/>
          <w:caps w:val="0"/>
          <w:color w:val="auto"/>
          <w:spacing w:val="0"/>
          <w:sz w:val="36"/>
          <w:szCs w:val="36"/>
          <w:u w:val="none"/>
          <w:shd w:val="clear" w:fill="FFFFFF"/>
          <w:lang w:val="en-US" w:eastAsia="zh-CN"/>
        </w:rPr>
      </w:pPr>
    </w:p>
    <w:p w14:paraId="63423EB7">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bCs/>
          <w:i w:val="0"/>
          <w:caps w:val="0"/>
          <w:color w:val="auto"/>
          <w:spacing w:val="0"/>
          <w:sz w:val="44"/>
          <w:szCs w:val="44"/>
          <w:u w:val="none"/>
          <w:shd w:val="clear" w:fill="FFFFFF"/>
          <w:lang w:val="en-US" w:eastAsia="zh-CN"/>
        </w:rPr>
      </w:pPr>
      <w:r>
        <w:rPr>
          <w:rFonts w:hint="eastAsia" w:ascii="宋体" w:hAnsi="宋体" w:eastAsia="宋体" w:cs="宋体"/>
          <w:b/>
          <w:bCs/>
          <w:i w:val="0"/>
          <w:caps w:val="0"/>
          <w:color w:val="auto"/>
          <w:spacing w:val="0"/>
          <w:sz w:val="44"/>
          <w:szCs w:val="44"/>
          <w:u w:val="none"/>
          <w:shd w:val="clear" w:fill="FFFFFF"/>
          <w:lang w:val="en-US" w:eastAsia="zh-CN"/>
        </w:rPr>
        <w:t>杭州市房屋建筑和市政工程</w:t>
      </w:r>
    </w:p>
    <w:p w14:paraId="7E7FF897">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bCs/>
          <w:i w:val="0"/>
          <w:caps w:val="0"/>
          <w:color w:val="auto"/>
          <w:spacing w:val="0"/>
          <w:sz w:val="44"/>
          <w:szCs w:val="44"/>
          <w:shd w:val="clear" w:fill="FFFFFF"/>
          <w:lang w:val="en-US" w:eastAsia="zh-CN"/>
        </w:rPr>
      </w:pPr>
      <w:r>
        <w:rPr>
          <w:rFonts w:hint="eastAsia" w:ascii="宋体" w:hAnsi="宋体" w:eastAsia="宋体" w:cs="宋体"/>
          <w:b/>
          <w:bCs/>
          <w:i w:val="0"/>
          <w:caps w:val="0"/>
          <w:color w:val="auto"/>
          <w:spacing w:val="0"/>
          <w:sz w:val="44"/>
          <w:szCs w:val="44"/>
          <w:shd w:val="clear" w:fill="FFFFFF"/>
          <w:lang w:val="en-US" w:eastAsia="zh-CN"/>
        </w:rPr>
        <w:t>建筑起重机械、附着式升降脚手架和高处作业吊篮</w:t>
      </w:r>
      <w:r>
        <w:rPr>
          <w:rFonts w:hint="eastAsia" w:ascii="宋体" w:hAnsi="宋体" w:eastAsia="宋体" w:cs="宋体"/>
          <w:b/>
          <w:bCs/>
          <w:i w:val="0"/>
          <w:caps w:val="0"/>
          <w:strike w:val="0"/>
          <w:dstrike w:val="0"/>
          <w:color w:val="auto"/>
          <w:spacing w:val="0"/>
          <w:sz w:val="44"/>
          <w:szCs w:val="44"/>
          <w:shd w:val="clear" w:fill="FFFFFF"/>
          <w:lang w:val="en-US" w:eastAsia="zh-CN"/>
        </w:rPr>
        <w:t>第三方安全技术</w:t>
      </w:r>
      <w:r>
        <w:rPr>
          <w:rFonts w:hint="eastAsia" w:ascii="宋体" w:hAnsi="宋体" w:eastAsia="宋体" w:cs="宋体"/>
          <w:b/>
          <w:bCs/>
          <w:i w:val="0"/>
          <w:caps w:val="0"/>
          <w:color w:val="auto"/>
          <w:spacing w:val="0"/>
          <w:sz w:val="44"/>
          <w:szCs w:val="44"/>
          <w:shd w:val="clear" w:fill="FFFFFF"/>
          <w:lang w:val="en-US" w:eastAsia="zh-CN"/>
        </w:rPr>
        <w:t>检查工作指引</w:t>
      </w:r>
    </w:p>
    <w:p w14:paraId="535D1A69">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bCs/>
          <w:i w:val="0"/>
          <w:caps w:val="0"/>
          <w:color w:val="auto"/>
          <w:spacing w:val="0"/>
          <w:sz w:val="44"/>
          <w:szCs w:val="44"/>
          <w:shd w:val="clear" w:fill="FFFFFF"/>
          <w:lang w:val="en-US" w:eastAsia="zh-CN"/>
        </w:rPr>
      </w:pPr>
    </w:p>
    <w:p w14:paraId="58149BE7">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bCs/>
          <w:i w:val="0"/>
          <w:caps w:val="0"/>
          <w:color w:val="auto"/>
          <w:spacing w:val="0"/>
          <w:sz w:val="44"/>
          <w:szCs w:val="44"/>
          <w:shd w:val="clear" w:fill="FFFFFF"/>
          <w:lang w:val="en-US" w:eastAsia="zh-CN"/>
        </w:rPr>
      </w:pPr>
    </w:p>
    <w:p w14:paraId="3DFCD495">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bCs/>
          <w:i w:val="0"/>
          <w:caps w:val="0"/>
          <w:color w:val="auto"/>
          <w:spacing w:val="0"/>
          <w:sz w:val="44"/>
          <w:szCs w:val="44"/>
          <w:shd w:val="clear" w:fill="FFFFFF"/>
          <w:lang w:val="en-US" w:eastAsia="zh-CN"/>
        </w:rPr>
      </w:pPr>
    </w:p>
    <w:p w14:paraId="43BB4CC1">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bCs/>
          <w:i w:val="0"/>
          <w:caps w:val="0"/>
          <w:color w:val="auto"/>
          <w:spacing w:val="0"/>
          <w:sz w:val="44"/>
          <w:szCs w:val="44"/>
          <w:shd w:val="clear" w:fill="FFFFFF"/>
          <w:lang w:val="en-US" w:eastAsia="zh-CN"/>
        </w:rPr>
      </w:pPr>
    </w:p>
    <w:p w14:paraId="416D742A">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bCs/>
          <w:i w:val="0"/>
          <w:caps w:val="0"/>
          <w:color w:val="auto"/>
          <w:spacing w:val="0"/>
          <w:sz w:val="44"/>
          <w:szCs w:val="44"/>
          <w:shd w:val="clear" w:fill="FFFFFF"/>
          <w:lang w:val="en-US" w:eastAsia="zh-CN"/>
        </w:rPr>
      </w:pPr>
    </w:p>
    <w:p w14:paraId="4EB8DA3D">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bCs/>
          <w:i w:val="0"/>
          <w:caps w:val="0"/>
          <w:color w:val="auto"/>
          <w:spacing w:val="0"/>
          <w:sz w:val="44"/>
          <w:szCs w:val="44"/>
          <w:shd w:val="clear" w:fill="FFFFFF"/>
          <w:lang w:val="en-US" w:eastAsia="zh-CN"/>
        </w:rPr>
      </w:pPr>
    </w:p>
    <w:p w14:paraId="61025F3B">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bCs/>
          <w:i w:val="0"/>
          <w:caps w:val="0"/>
          <w:color w:val="auto"/>
          <w:spacing w:val="0"/>
          <w:sz w:val="44"/>
          <w:szCs w:val="44"/>
          <w:shd w:val="clear" w:fill="FFFFFF"/>
          <w:lang w:val="en-US" w:eastAsia="zh-CN"/>
        </w:rPr>
      </w:pPr>
    </w:p>
    <w:p w14:paraId="08376480">
      <w:pPr>
        <w:keepNext w:val="0"/>
        <w:keepLines w:val="0"/>
        <w:pageBreakBefore w:val="0"/>
        <w:widowControl w:val="0"/>
        <w:kinsoku/>
        <w:wordWrap/>
        <w:overflowPunct/>
        <w:topLinePunct w:val="0"/>
        <w:autoSpaceDE/>
        <w:autoSpaceDN/>
        <w:bidi w:val="0"/>
        <w:adjustRightInd/>
        <w:snapToGrid/>
        <w:spacing w:before="313" w:beforeLines="100" w:after="313" w:afterLines="100" w:line="440" w:lineRule="exact"/>
        <w:ind w:left="0" w:leftChars="0" w:right="0" w:rightChars="0"/>
        <w:jc w:val="center"/>
        <w:textAlignment w:val="auto"/>
        <w:rPr>
          <w:rFonts w:hint="eastAsia" w:ascii="宋体" w:hAnsi="宋体" w:eastAsia="宋体" w:cs="宋体"/>
          <w:b/>
          <w:bCs/>
          <w:i w:val="0"/>
          <w:caps w:val="0"/>
          <w:color w:val="auto"/>
          <w:spacing w:val="0"/>
          <w:sz w:val="36"/>
          <w:szCs w:val="36"/>
          <w:shd w:val="clear" w:fill="FFFFFF"/>
          <w:lang w:val="en-US" w:eastAsia="zh-CN"/>
        </w:rPr>
      </w:pPr>
      <w:r>
        <w:rPr>
          <w:rFonts w:hint="eastAsia" w:ascii="宋体" w:hAnsi="宋体" w:eastAsia="宋体" w:cs="宋体"/>
          <w:b/>
          <w:bCs/>
          <w:i w:val="0"/>
          <w:caps w:val="0"/>
          <w:color w:val="auto"/>
          <w:spacing w:val="0"/>
          <w:sz w:val="36"/>
          <w:szCs w:val="36"/>
          <w:shd w:val="clear" w:fill="FFFFFF"/>
          <w:lang w:val="en-US" w:eastAsia="zh-CN"/>
        </w:rPr>
        <w:t>杭州市建设工程质量安全管理协会</w:t>
      </w:r>
    </w:p>
    <w:p w14:paraId="00C7A36D">
      <w:pPr>
        <w:keepNext w:val="0"/>
        <w:keepLines w:val="0"/>
        <w:pageBreakBefore w:val="0"/>
        <w:widowControl w:val="0"/>
        <w:kinsoku/>
        <w:wordWrap/>
        <w:overflowPunct/>
        <w:topLinePunct w:val="0"/>
        <w:autoSpaceDE/>
        <w:autoSpaceDN/>
        <w:bidi w:val="0"/>
        <w:adjustRightInd/>
        <w:snapToGrid/>
        <w:spacing w:before="313" w:beforeLines="100" w:after="313" w:afterLines="100" w:line="440" w:lineRule="exact"/>
        <w:ind w:left="0" w:leftChars="0" w:right="0" w:rightChars="0"/>
        <w:jc w:val="center"/>
        <w:textAlignment w:val="auto"/>
        <w:rPr>
          <w:rFonts w:hint="eastAsia" w:ascii="宋体" w:hAnsi="宋体" w:eastAsia="宋体" w:cs="宋体"/>
          <w:b/>
          <w:bCs/>
          <w:i w:val="0"/>
          <w:caps w:val="0"/>
          <w:color w:val="auto"/>
          <w:spacing w:val="0"/>
          <w:sz w:val="36"/>
          <w:szCs w:val="36"/>
          <w:shd w:val="clear" w:fill="FFFFFF"/>
          <w:lang w:val="en-US" w:eastAsia="zh-CN"/>
        </w:rPr>
      </w:pPr>
      <w:r>
        <w:rPr>
          <w:rFonts w:hint="eastAsia" w:ascii="宋体" w:hAnsi="宋体" w:eastAsia="宋体" w:cs="宋体"/>
          <w:b/>
          <w:bCs/>
          <w:i w:val="0"/>
          <w:caps w:val="0"/>
          <w:color w:val="auto"/>
          <w:spacing w:val="0"/>
          <w:sz w:val="36"/>
          <w:szCs w:val="36"/>
          <w:shd w:val="clear" w:fill="FFFFFF"/>
          <w:lang w:val="en-US" w:eastAsia="zh-CN"/>
        </w:rPr>
        <w:t>施工机械安全分会</w:t>
      </w:r>
    </w:p>
    <w:p w14:paraId="09677A3A">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bCs/>
          <w:i w:val="0"/>
          <w:caps w:val="0"/>
          <w:color w:val="auto"/>
          <w:spacing w:val="0"/>
          <w:sz w:val="44"/>
          <w:szCs w:val="44"/>
          <w:u w:val="none"/>
          <w:shd w:val="clear" w:fill="FFFFFF"/>
          <w:lang w:val="en-US" w:eastAsia="zh-CN"/>
        </w:rPr>
        <w:sectPr>
          <w:footerReference r:id="rId5" w:type="default"/>
          <w:pgSz w:w="11906" w:h="16838"/>
          <w:pgMar w:top="1440" w:right="1466"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b/>
          <w:bCs/>
          <w:i w:val="0"/>
          <w:caps w:val="0"/>
          <w:color w:val="auto"/>
          <w:spacing w:val="0"/>
          <w:sz w:val="36"/>
          <w:szCs w:val="36"/>
          <w:shd w:val="clear" w:fill="FFFFFF"/>
          <w:lang w:val="en-US" w:eastAsia="zh-CN"/>
        </w:rPr>
        <w:t>2025年3月5日</w:t>
      </w:r>
    </w:p>
    <w:p w14:paraId="729CC940">
      <w:pPr>
        <w:jc w:val="center"/>
        <w:rPr>
          <w:rFonts w:hint="eastAsia" w:ascii="宋体" w:hAnsi="宋体" w:eastAsia="宋体" w:cs="宋体"/>
          <w:b/>
          <w:bCs/>
          <w:color w:val="auto"/>
          <w:sz w:val="44"/>
          <w:szCs w:val="44"/>
          <w:lang w:val="en-US" w:eastAsia="zh-CN"/>
        </w:rPr>
      </w:pPr>
    </w:p>
    <w:p w14:paraId="4E4FE0E1">
      <w:pPr>
        <w:jc w:val="center"/>
        <w:rPr>
          <w:rFonts w:hint="eastAsia" w:ascii="宋体" w:hAnsi="宋体" w:eastAsia="宋体" w:cs="宋体"/>
          <w:color w:val="auto"/>
          <w:sz w:val="24"/>
          <w:szCs w:val="24"/>
          <w:lang w:val="en-US" w:eastAsia="zh-CN"/>
        </w:rPr>
      </w:pPr>
      <w:r>
        <w:rPr>
          <w:rFonts w:hint="eastAsia" w:ascii="宋体" w:hAnsi="宋体" w:eastAsia="宋体" w:cs="宋体"/>
          <w:b/>
          <w:bCs/>
          <w:color w:val="auto"/>
          <w:sz w:val="44"/>
          <w:szCs w:val="44"/>
          <w:lang w:val="en-US" w:eastAsia="zh-CN"/>
        </w:rPr>
        <w:t>编制说明</w:t>
      </w:r>
    </w:p>
    <w:p w14:paraId="71462BB6">
      <w:pPr>
        <w:keepNext w:val="0"/>
        <w:keepLines w:val="0"/>
        <w:pageBreakBefore w:val="0"/>
        <w:kinsoku/>
        <w:wordWrap/>
        <w:overflowPunct/>
        <w:topLinePunct w:val="0"/>
        <w:autoSpaceDE/>
        <w:autoSpaceDN/>
        <w:bidi w:val="0"/>
        <w:adjustRightInd/>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为进一步明确开展建筑起重机械、附着式升降脚手架和高处作业吊篮</w:t>
      </w:r>
      <w:r>
        <w:rPr>
          <w:rFonts w:hint="eastAsia" w:ascii="宋体" w:hAnsi="宋体" w:eastAsia="宋体" w:cs="宋体"/>
          <w:strike w:val="0"/>
          <w:dstrike w:val="0"/>
          <w:color w:val="auto"/>
          <w:sz w:val="24"/>
          <w:szCs w:val="24"/>
          <w:lang w:val="en-US" w:eastAsia="zh-CN"/>
        </w:rPr>
        <w:t>第三方安全技术</w:t>
      </w:r>
      <w:r>
        <w:rPr>
          <w:rFonts w:hint="eastAsia" w:ascii="宋体" w:hAnsi="宋体" w:eastAsia="宋体" w:cs="宋体"/>
          <w:color w:val="auto"/>
          <w:sz w:val="24"/>
          <w:szCs w:val="24"/>
          <w:lang w:val="en-US" w:eastAsia="zh-CN"/>
        </w:rPr>
        <w:t>检查工作中各单位主体责任，理清相关单位安全职责，经广泛调查，听</w:t>
      </w:r>
      <w:bookmarkStart w:id="0" w:name="_GoBack"/>
      <w:bookmarkEnd w:id="0"/>
      <w:r>
        <w:rPr>
          <w:rFonts w:hint="eastAsia" w:ascii="宋体" w:hAnsi="宋体" w:eastAsia="宋体" w:cs="宋体"/>
          <w:color w:val="auto"/>
          <w:sz w:val="24"/>
          <w:szCs w:val="24"/>
          <w:lang w:val="en-US" w:eastAsia="zh-CN"/>
        </w:rPr>
        <w:t>取各方面意见的基础上，杭州市建设工程质量安全管理协会施工机械安全分会（以下简称“机械安全分会”）组织相关单位专家编制了《杭州市房屋建筑和市政工程建筑起重机械、附着式升降脚手架和高处作业吊篮</w:t>
      </w:r>
      <w:r>
        <w:rPr>
          <w:rFonts w:hint="eastAsia" w:ascii="宋体" w:hAnsi="宋体" w:eastAsia="宋体" w:cs="宋体"/>
          <w:strike w:val="0"/>
          <w:dstrike w:val="0"/>
          <w:color w:val="auto"/>
          <w:sz w:val="24"/>
          <w:szCs w:val="24"/>
          <w:lang w:val="en-US" w:eastAsia="zh-CN"/>
        </w:rPr>
        <w:t>第三方安全技术</w:t>
      </w:r>
      <w:r>
        <w:rPr>
          <w:rFonts w:hint="eastAsia" w:ascii="宋体" w:hAnsi="宋体" w:eastAsia="宋体" w:cs="宋体"/>
          <w:color w:val="auto"/>
          <w:sz w:val="24"/>
          <w:szCs w:val="24"/>
          <w:lang w:val="en-US" w:eastAsia="zh-CN"/>
        </w:rPr>
        <w:t>检查工作指引》。</w:t>
      </w:r>
    </w:p>
    <w:p w14:paraId="54C75479">
      <w:pPr>
        <w:keepNext w:val="0"/>
        <w:keepLines w:val="0"/>
        <w:pageBreakBefore w:val="0"/>
        <w:widowControl/>
        <w:suppressLineNumbers w:val="0"/>
        <w:kinsoku/>
        <w:wordWrap/>
        <w:overflowPunct/>
        <w:topLinePunct w:val="0"/>
        <w:autoSpaceDE/>
        <w:autoSpaceDN/>
        <w:bidi w:val="0"/>
        <w:adjustRightInd/>
        <w:ind w:firstLine="480" w:firstLineChars="200"/>
        <w:jc w:val="left"/>
        <w:textAlignment w:val="auto"/>
        <w:rPr>
          <w:color w:val="auto"/>
          <w:sz w:val="24"/>
          <w:szCs w:val="24"/>
        </w:rPr>
      </w:pPr>
      <w:r>
        <w:rPr>
          <w:rFonts w:hint="eastAsia" w:ascii="宋体" w:hAnsi="宋体" w:eastAsia="宋体" w:cs="宋体"/>
          <w:color w:val="auto"/>
          <w:sz w:val="24"/>
          <w:szCs w:val="24"/>
          <w:lang w:val="en-US" w:eastAsia="zh-CN"/>
        </w:rPr>
        <w:t>随着行业发展和设备设施创新技术应用等，本指引适用可能存在一定局限性，</w:t>
      </w:r>
      <w:r>
        <w:rPr>
          <w:rFonts w:hint="eastAsia" w:ascii="宋体" w:hAnsi="宋体" w:eastAsia="宋体" w:cs="宋体"/>
          <w:color w:val="auto"/>
          <w:kern w:val="0"/>
          <w:sz w:val="24"/>
          <w:szCs w:val="24"/>
          <w:lang w:val="en-US" w:eastAsia="zh-CN" w:bidi="ar"/>
        </w:rPr>
        <w:t>欢迎相关单位提出意见和建议。意见和建议请以书面形式，反馈至</w:t>
      </w:r>
      <w:r>
        <w:rPr>
          <w:rFonts w:hint="eastAsia" w:ascii="宋体" w:hAnsi="宋体" w:eastAsia="宋体" w:cs="宋体"/>
          <w:color w:val="auto"/>
          <w:sz w:val="24"/>
          <w:szCs w:val="24"/>
          <w:lang w:val="en-US" w:eastAsia="zh-CN"/>
        </w:rPr>
        <w:t>机械安全分会</w:t>
      </w:r>
      <w:r>
        <w:rPr>
          <w:rFonts w:hint="eastAsia" w:ascii="宋体" w:hAnsi="宋体" w:eastAsia="宋体" w:cs="宋体"/>
          <w:color w:val="auto"/>
          <w:kern w:val="0"/>
          <w:sz w:val="24"/>
          <w:szCs w:val="24"/>
          <w:lang w:val="en-US" w:eastAsia="zh-CN" w:bidi="ar"/>
        </w:rPr>
        <w:t xml:space="preserve">（杭州市莫干山路100号耀江国际大厦B座7楼），以供今后修改和完善。 </w:t>
      </w:r>
    </w:p>
    <w:p w14:paraId="7BA8937A">
      <w:pPr>
        <w:keepNext w:val="0"/>
        <w:keepLines w:val="0"/>
        <w:pageBreakBefore w:val="0"/>
        <w:kinsoku/>
        <w:wordWrap/>
        <w:overflowPunct/>
        <w:topLinePunct w:val="0"/>
        <w:autoSpaceDE/>
        <w:autoSpaceDN/>
        <w:bidi w:val="0"/>
        <w:adjustRightInd/>
        <w:ind w:firstLine="480" w:firstLineChars="200"/>
        <w:jc w:val="left"/>
        <w:textAlignment w:val="auto"/>
        <w:rPr>
          <w:rFonts w:hint="eastAsia" w:ascii="宋体" w:hAnsi="宋体" w:eastAsia="宋体" w:cs="宋体"/>
          <w:color w:val="auto"/>
          <w:sz w:val="24"/>
          <w:szCs w:val="24"/>
          <w:lang w:val="en-US" w:eastAsia="zh-CN"/>
        </w:rPr>
      </w:pPr>
    </w:p>
    <w:p w14:paraId="40333E4D">
      <w:pPr>
        <w:keepNext w:val="0"/>
        <w:keepLines w:val="0"/>
        <w:pageBreakBefore w:val="0"/>
        <w:kinsoku/>
        <w:wordWrap/>
        <w:overflowPunct/>
        <w:topLinePunct w:val="0"/>
        <w:autoSpaceDE/>
        <w:autoSpaceDN/>
        <w:bidi w:val="0"/>
        <w:adjustRightInd/>
        <w:ind w:firstLine="480" w:firstLineChars="200"/>
        <w:jc w:val="left"/>
        <w:textAlignment w:val="auto"/>
        <w:rPr>
          <w:rFonts w:hint="eastAsia" w:ascii="宋体" w:hAnsi="宋体" w:eastAsia="宋体" w:cs="宋体"/>
          <w:color w:val="auto"/>
          <w:sz w:val="24"/>
          <w:szCs w:val="24"/>
          <w:lang w:val="en-US" w:eastAsia="zh-CN"/>
        </w:rPr>
      </w:pPr>
    </w:p>
    <w:p w14:paraId="501688CC">
      <w:pPr>
        <w:keepNext w:val="0"/>
        <w:keepLines w:val="0"/>
        <w:pageBreakBefore w:val="0"/>
        <w:kinsoku/>
        <w:wordWrap/>
        <w:overflowPunct/>
        <w:topLinePunct w:val="0"/>
        <w:autoSpaceDE/>
        <w:autoSpaceDN/>
        <w:bidi w:val="0"/>
        <w:adjustRightInd/>
        <w:ind w:firstLine="480" w:firstLineChars="200"/>
        <w:jc w:val="left"/>
        <w:textAlignment w:val="auto"/>
        <w:rPr>
          <w:rFonts w:hint="eastAsia" w:ascii="宋体" w:hAnsi="宋体" w:eastAsia="宋体" w:cs="宋体"/>
          <w:color w:val="auto"/>
          <w:sz w:val="24"/>
          <w:szCs w:val="24"/>
          <w:lang w:val="en-US" w:eastAsia="zh-CN"/>
        </w:rPr>
      </w:pPr>
    </w:p>
    <w:p w14:paraId="6CDD0BD7">
      <w:pPr>
        <w:keepNext w:val="0"/>
        <w:keepLines w:val="0"/>
        <w:pageBreakBefore w:val="0"/>
        <w:kinsoku/>
        <w:wordWrap/>
        <w:overflowPunct/>
        <w:topLinePunct w:val="0"/>
        <w:autoSpaceDE/>
        <w:autoSpaceDN/>
        <w:bidi w:val="0"/>
        <w:adjustRightInd/>
        <w:ind w:firstLine="0" w:firstLineChars="0"/>
        <w:jc w:val="left"/>
        <w:textAlignment w:val="auto"/>
        <w:rPr>
          <w:rFonts w:hint="default" w:ascii="宋体" w:hAnsi="宋体" w:eastAsia="宋体" w:cs="宋体"/>
          <w:color w:val="auto"/>
          <w:sz w:val="24"/>
          <w:szCs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auto"/>
          <w:sz w:val="24"/>
          <w:szCs w:val="24"/>
          <w:lang w:val="en-US" w:eastAsia="zh-CN"/>
        </w:rPr>
        <w:t>《杭州市房屋建筑和市政工程建筑起重机械、附着式升降脚手架和高处作业吊篮</w:t>
      </w:r>
      <w:r>
        <w:rPr>
          <w:rFonts w:hint="eastAsia" w:ascii="宋体" w:hAnsi="宋体" w:eastAsia="宋体" w:cs="宋体"/>
          <w:strike w:val="0"/>
          <w:dstrike w:val="0"/>
          <w:color w:val="auto"/>
          <w:sz w:val="24"/>
          <w:szCs w:val="24"/>
          <w:lang w:val="en-US" w:eastAsia="zh-CN"/>
        </w:rPr>
        <w:t>第三方安全技术</w:t>
      </w:r>
      <w:r>
        <w:rPr>
          <w:rFonts w:hint="eastAsia" w:ascii="宋体" w:hAnsi="宋体" w:eastAsia="宋体" w:cs="宋体"/>
          <w:color w:val="auto"/>
          <w:sz w:val="24"/>
          <w:szCs w:val="24"/>
          <w:lang w:val="en-US" w:eastAsia="zh-CN"/>
        </w:rPr>
        <w:t>检查工作指引》编制组</w:t>
      </w:r>
    </w:p>
    <w:p w14:paraId="15A42385">
      <w:pPr>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目录</w:t>
      </w:r>
    </w:p>
    <w:p w14:paraId="208A2E5F">
      <w:pPr>
        <w:keepNext w:val="0"/>
        <w:keepLines w:val="0"/>
        <w:pageBreakBefore w:val="0"/>
        <w:widowControl w:val="0"/>
        <w:numPr>
          <w:ilvl w:val="0"/>
          <w:numId w:val="0"/>
        </w:numPr>
        <w:kinsoku/>
        <w:wordWrap/>
        <w:overflowPunct/>
        <w:topLinePunct w:val="0"/>
        <w:autoSpaceDE/>
        <w:autoSpaceDN/>
        <w:bidi w:val="0"/>
        <w:adjustRightInd/>
        <w:snapToGrid w:val="0"/>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1.总则</w:t>
      </w:r>
    </w:p>
    <w:p w14:paraId="7AC88FEF">
      <w:pPr>
        <w:keepNext w:val="0"/>
        <w:keepLines w:val="0"/>
        <w:pageBreakBefore w:val="0"/>
        <w:widowControl w:val="0"/>
        <w:numPr>
          <w:ilvl w:val="0"/>
          <w:numId w:val="0"/>
        </w:numPr>
        <w:kinsoku/>
        <w:wordWrap/>
        <w:overflowPunct/>
        <w:topLinePunct w:val="0"/>
        <w:autoSpaceDE/>
        <w:autoSpaceDN/>
        <w:bidi w:val="0"/>
        <w:adjustRightInd/>
        <w:snapToGrid w:val="0"/>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2.编制依据</w:t>
      </w:r>
    </w:p>
    <w:p w14:paraId="091C9DF7">
      <w:pPr>
        <w:keepNext w:val="0"/>
        <w:keepLines w:val="0"/>
        <w:pageBreakBefore w:val="0"/>
        <w:widowControl w:val="0"/>
        <w:numPr>
          <w:ilvl w:val="0"/>
          <w:numId w:val="0"/>
        </w:numPr>
        <w:kinsoku/>
        <w:wordWrap/>
        <w:overflowPunct/>
        <w:topLinePunct w:val="0"/>
        <w:autoSpaceDE/>
        <w:autoSpaceDN/>
        <w:bidi w:val="0"/>
        <w:adjustRightInd/>
        <w:snapToGrid w:val="0"/>
        <w:ind w:leftChars="0"/>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3.基本规定</w:t>
      </w:r>
    </w:p>
    <w:p w14:paraId="7A1BF7ED">
      <w:pPr>
        <w:keepNext w:val="0"/>
        <w:keepLines w:val="0"/>
        <w:pageBreakBefore w:val="0"/>
        <w:widowControl w:val="0"/>
        <w:numPr>
          <w:ilvl w:val="0"/>
          <w:numId w:val="0"/>
        </w:numPr>
        <w:kinsoku/>
        <w:wordWrap/>
        <w:overflowPunct/>
        <w:topLinePunct w:val="0"/>
        <w:autoSpaceDE/>
        <w:autoSpaceDN/>
        <w:bidi w:val="0"/>
        <w:adjustRightInd/>
        <w:snapToGrid w:val="0"/>
        <w:ind w:leftChars="0"/>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4.资质能力要求</w:t>
      </w:r>
    </w:p>
    <w:p w14:paraId="407333AA">
      <w:pPr>
        <w:keepNext w:val="0"/>
        <w:keepLines w:val="0"/>
        <w:pageBreakBefore w:val="0"/>
        <w:widowControl w:val="0"/>
        <w:numPr>
          <w:ilvl w:val="0"/>
          <w:numId w:val="0"/>
        </w:numPr>
        <w:kinsoku/>
        <w:wordWrap/>
        <w:overflowPunct/>
        <w:topLinePunct w:val="0"/>
        <w:autoSpaceDE/>
        <w:autoSpaceDN/>
        <w:bidi w:val="0"/>
        <w:adjustRightInd/>
        <w:snapToGrid w:val="0"/>
        <w:ind w:leftChars="0"/>
        <w:jc w:val="left"/>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4.1.第三方资质要求</w:t>
      </w:r>
    </w:p>
    <w:p w14:paraId="706EACC2">
      <w:pPr>
        <w:keepNext w:val="0"/>
        <w:keepLines w:val="0"/>
        <w:pageBreakBefore w:val="0"/>
        <w:widowControl w:val="0"/>
        <w:numPr>
          <w:ilvl w:val="0"/>
          <w:numId w:val="0"/>
        </w:numPr>
        <w:kinsoku/>
        <w:wordWrap/>
        <w:overflowPunct/>
        <w:topLinePunct w:val="0"/>
        <w:autoSpaceDE/>
        <w:autoSpaceDN/>
        <w:bidi w:val="0"/>
        <w:adjustRightInd/>
        <w:snapToGrid w:val="0"/>
        <w:ind w:leftChars="0"/>
        <w:jc w:val="left"/>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4.2.检查人员能力要求</w:t>
      </w:r>
    </w:p>
    <w:p w14:paraId="63BE2F27">
      <w:pPr>
        <w:keepNext w:val="0"/>
        <w:keepLines w:val="0"/>
        <w:pageBreakBefore w:val="0"/>
        <w:widowControl w:val="0"/>
        <w:numPr>
          <w:ilvl w:val="0"/>
          <w:numId w:val="0"/>
        </w:numPr>
        <w:kinsoku/>
        <w:wordWrap/>
        <w:overflowPunct/>
        <w:topLinePunct w:val="0"/>
        <w:autoSpaceDE/>
        <w:autoSpaceDN/>
        <w:bidi w:val="0"/>
        <w:adjustRightInd/>
        <w:snapToGrid w:val="0"/>
        <w:ind w:leftChars="0"/>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5.检查流程</w:t>
      </w:r>
    </w:p>
    <w:p w14:paraId="107D60FE">
      <w:pPr>
        <w:keepNext w:val="0"/>
        <w:keepLines w:val="0"/>
        <w:pageBreakBefore w:val="0"/>
        <w:widowControl w:val="0"/>
        <w:numPr>
          <w:ilvl w:val="0"/>
          <w:numId w:val="0"/>
        </w:numPr>
        <w:kinsoku/>
        <w:wordWrap/>
        <w:overflowPunct/>
        <w:topLinePunct w:val="0"/>
        <w:autoSpaceDE/>
        <w:autoSpaceDN/>
        <w:bidi w:val="0"/>
        <w:adjustRightInd/>
        <w:snapToGrid w:val="0"/>
        <w:ind w:leftChars="0"/>
        <w:jc w:val="left"/>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kern w:val="2"/>
          <w:sz w:val="28"/>
          <w:szCs w:val="28"/>
          <w:highlight w:val="none"/>
          <w:lang w:val="en-US" w:eastAsia="zh-CN" w:bidi="ar-SA"/>
        </w:rPr>
        <w:t>检查</w:t>
      </w:r>
      <w:r>
        <w:rPr>
          <w:rFonts w:hint="eastAsia" w:ascii="宋体" w:hAnsi="宋体" w:eastAsia="宋体" w:cs="宋体"/>
          <w:b/>
          <w:bCs/>
          <w:color w:val="auto"/>
          <w:sz w:val="28"/>
          <w:szCs w:val="28"/>
          <w:highlight w:val="none"/>
          <w:lang w:val="en-US" w:eastAsia="zh-CN"/>
        </w:rPr>
        <w:t>判定标准</w:t>
      </w:r>
    </w:p>
    <w:p w14:paraId="3832FD39">
      <w:pPr>
        <w:keepNext w:val="0"/>
        <w:keepLines w:val="0"/>
        <w:pageBreakBefore w:val="0"/>
        <w:widowControl w:val="0"/>
        <w:numPr>
          <w:ilvl w:val="0"/>
          <w:numId w:val="0"/>
        </w:numPr>
        <w:kinsoku/>
        <w:wordWrap/>
        <w:overflowPunct/>
        <w:topLinePunct w:val="0"/>
        <w:autoSpaceDE/>
        <w:autoSpaceDN/>
        <w:bidi w:val="0"/>
        <w:adjustRightInd/>
        <w:snapToGrid w:val="0"/>
        <w:ind w:leftChars="0"/>
        <w:jc w:val="left"/>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表2塔式起重机红线隐患负面清单</w:t>
      </w:r>
    </w:p>
    <w:p w14:paraId="1E3DC254">
      <w:pPr>
        <w:keepNext w:val="0"/>
        <w:keepLines w:val="0"/>
        <w:pageBreakBefore w:val="0"/>
        <w:widowControl w:val="0"/>
        <w:numPr>
          <w:ilvl w:val="0"/>
          <w:numId w:val="0"/>
        </w:numPr>
        <w:kinsoku/>
        <w:wordWrap/>
        <w:overflowPunct/>
        <w:topLinePunct w:val="0"/>
        <w:autoSpaceDE/>
        <w:autoSpaceDN/>
        <w:bidi w:val="0"/>
        <w:adjustRightInd/>
        <w:snapToGrid w:val="0"/>
        <w:ind w:leftChars="0"/>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表3人货两用施工升降机红线隐患负面清单</w:t>
      </w:r>
    </w:p>
    <w:p w14:paraId="332B9BDD">
      <w:pPr>
        <w:keepNext w:val="0"/>
        <w:keepLines w:val="0"/>
        <w:pageBreakBefore w:val="0"/>
        <w:widowControl w:val="0"/>
        <w:numPr>
          <w:ilvl w:val="0"/>
          <w:numId w:val="0"/>
        </w:numPr>
        <w:kinsoku/>
        <w:wordWrap/>
        <w:overflowPunct/>
        <w:topLinePunct w:val="0"/>
        <w:autoSpaceDE/>
        <w:autoSpaceDN/>
        <w:bidi w:val="0"/>
        <w:adjustRightInd/>
        <w:snapToGrid w:val="0"/>
        <w:ind w:leftChars="0"/>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表4货用施工升降机红线隐患负面清单</w:t>
      </w:r>
    </w:p>
    <w:p w14:paraId="3844AA5E">
      <w:pPr>
        <w:keepNext w:val="0"/>
        <w:keepLines w:val="0"/>
        <w:pageBreakBefore w:val="0"/>
        <w:widowControl w:val="0"/>
        <w:numPr>
          <w:ilvl w:val="0"/>
          <w:numId w:val="0"/>
        </w:numPr>
        <w:kinsoku/>
        <w:wordWrap/>
        <w:overflowPunct/>
        <w:topLinePunct w:val="0"/>
        <w:autoSpaceDE/>
        <w:autoSpaceDN/>
        <w:bidi w:val="0"/>
        <w:adjustRightInd/>
        <w:snapToGrid w:val="0"/>
        <w:ind w:leftChars="0"/>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表5高处作业吊篮红线隐患负面清单</w:t>
      </w:r>
    </w:p>
    <w:p w14:paraId="247D875F">
      <w:pPr>
        <w:keepNext w:val="0"/>
        <w:keepLines w:val="0"/>
        <w:pageBreakBefore w:val="0"/>
        <w:widowControl w:val="0"/>
        <w:numPr>
          <w:ilvl w:val="0"/>
          <w:numId w:val="0"/>
        </w:numPr>
        <w:kinsoku/>
        <w:wordWrap/>
        <w:overflowPunct/>
        <w:topLinePunct w:val="0"/>
        <w:autoSpaceDE/>
        <w:autoSpaceDN/>
        <w:bidi w:val="0"/>
        <w:adjustRightInd/>
        <w:snapToGrid w:val="0"/>
        <w:ind w:leftChars="0"/>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表6桥（门）式起重机红线隐患负面清单</w:t>
      </w:r>
    </w:p>
    <w:p w14:paraId="5A7D1F0F">
      <w:pPr>
        <w:keepNext w:val="0"/>
        <w:keepLines w:val="0"/>
        <w:pageBreakBefore w:val="0"/>
        <w:widowControl w:val="0"/>
        <w:numPr>
          <w:ilvl w:val="0"/>
          <w:numId w:val="0"/>
        </w:numPr>
        <w:kinsoku/>
        <w:wordWrap/>
        <w:overflowPunct/>
        <w:topLinePunct w:val="0"/>
        <w:autoSpaceDE/>
        <w:autoSpaceDN/>
        <w:bidi w:val="0"/>
        <w:adjustRightInd/>
        <w:snapToGrid w:val="0"/>
        <w:ind w:leftChars="0"/>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表7流动式起重机红线隐患负面清单</w:t>
      </w:r>
    </w:p>
    <w:p w14:paraId="3CEF9855">
      <w:pPr>
        <w:keepNext w:val="0"/>
        <w:keepLines w:val="0"/>
        <w:pageBreakBefore w:val="0"/>
        <w:widowControl w:val="0"/>
        <w:numPr>
          <w:ilvl w:val="0"/>
          <w:numId w:val="0"/>
        </w:numPr>
        <w:kinsoku/>
        <w:wordWrap/>
        <w:overflowPunct/>
        <w:topLinePunct w:val="0"/>
        <w:autoSpaceDE/>
        <w:autoSpaceDN/>
        <w:bidi w:val="0"/>
        <w:adjustRightInd/>
        <w:snapToGrid w:val="0"/>
        <w:ind w:leftChars="0"/>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表8附着式升降脚手架红线隐患负面清单</w:t>
      </w:r>
    </w:p>
    <w:p w14:paraId="77CB9531">
      <w:pPr>
        <w:keepNext w:val="0"/>
        <w:keepLines w:val="0"/>
        <w:pageBreakBefore w:val="0"/>
        <w:widowControl w:val="0"/>
        <w:numPr>
          <w:ilvl w:val="0"/>
          <w:numId w:val="0"/>
        </w:numPr>
        <w:kinsoku/>
        <w:wordWrap/>
        <w:overflowPunct/>
        <w:topLinePunct w:val="0"/>
        <w:autoSpaceDE/>
        <w:autoSpaceDN/>
        <w:bidi w:val="0"/>
        <w:adjustRightInd/>
        <w:snapToGrid w:val="0"/>
        <w:ind w:leftChars="0"/>
        <w:jc w:val="left"/>
        <w:textAlignment w:val="auto"/>
        <w:rPr>
          <w:rFonts w:hint="default" w:ascii="宋体" w:hAnsi="宋体" w:eastAsia="宋体" w:cs="宋体"/>
          <w:b/>
          <w:bCs/>
          <w:color w:val="auto"/>
          <w:sz w:val="28"/>
          <w:szCs w:val="28"/>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b/>
          <w:bCs/>
          <w:color w:val="auto"/>
          <w:sz w:val="28"/>
          <w:szCs w:val="28"/>
          <w:highlight w:val="none"/>
          <w:lang w:val="en-US" w:eastAsia="zh-CN"/>
        </w:rPr>
        <w:t>7.检查意见书</w:t>
      </w:r>
    </w:p>
    <w:p w14:paraId="45E776E9">
      <w:pPr>
        <w:numPr>
          <w:ilvl w:val="0"/>
          <w:numId w:val="0"/>
        </w:numPr>
        <w:jc w:val="center"/>
        <w:rPr>
          <w:rFonts w:hint="eastAsia" w:ascii="宋体" w:hAnsi="宋体" w:eastAsia="宋体" w:cs="宋体"/>
          <w:b/>
          <w:bCs/>
          <w:sz w:val="24"/>
          <w:szCs w:val="24"/>
          <w:lang w:val="en-US" w:eastAsia="zh-CN"/>
        </w:rPr>
      </w:pPr>
      <w:r>
        <w:rPr>
          <w:rFonts w:hint="eastAsia" w:ascii="宋体" w:hAnsi="宋体" w:eastAsia="宋体" w:cs="宋体"/>
          <w:b/>
          <w:bCs/>
          <w:color w:val="auto"/>
          <w:kern w:val="2"/>
          <w:sz w:val="28"/>
          <w:szCs w:val="28"/>
          <w:lang w:val="en-US" w:eastAsia="zh-CN" w:bidi="ar-SA"/>
        </w:rPr>
        <w:t xml:space="preserve">1  </w:t>
      </w:r>
      <w:r>
        <w:rPr>
          <w:rFonts w:hint="eastAsia" w:ascii="宋体" w:hAnsi="宋体" w:eastAsia="宋体" w:cs="宋体"/>
          <w:b/>
          <w:bCs/>
          <w:color w:val="auto"/>
          <w:sz w:val="28"/>
          <w:szCs w:val="28"/>
          <w:lang w:val="en-US" w:eastAsia="zh-CN"/>
        </w:rPr>
        <w:t>总则</w:t>
      </w:r>
    </w:p>
    <w:p w14:paraId="65BB8D88">
      <w:pPr>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bCs/>
          <w:sz w:val="24"/>
          <w:szCs w:val="24"/>
          <w:lang w:val="en-US" w:eastAsia="zh-CN"/>
        </w:rPr>
        <w:t>1.0.1</w:t>
      </w: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highlight w:val="none"/>
          <w:lang w:val="en-US" w:eastAsia="zh-CN"/>
        </w:rPr>
        <w:t xml:space="preserve"> 为了规范杭州市</w:t>
      </w:r>
      <w:r>
        <w:rPr>
          <w:rFonts w:hint="eastAsia" w:ascii="宋体" w:hAnsi="宋体" w:eastAsia="宋体" w:cs="宋体"/>
          <w:color w:val="auto"/>
          <w:sz w:val="24"/>
          <w:szCs w:val="24"/>
          <w:highlight w:val="none"/>
        </w:rPr>
        <w:t>房屋建筑和市政工程</w:t>
      </w:r>
      <w:r>
        <w:rPr>
          <w:rFonts w:hint="eastAsia" w:ascii="宋体" w:hAnsi="宋体" w:eastAsia="宋体" w:cs="宋体"/>
          <w:color w:val="auto"/>
          <w:sz w:val="24"/>
          <w:szCs w:val="24"/>
          <w:highlight w:val="none"/>
          <w:lang w:val="en-US" w:eastAsia="zh-CN"/>
        </w:rPr>
        <w:t>（包含轨道交通工程）中建筑起重机械、附着式升降脚手架和高处作业吊篮第三方安全技术检查工作要求，</w:t>
      </w:r>
      <w:r>
        <w:rPr>
          <w:rFonts w:hint="eastAsia" w:ascii="宋体" w:hAnsi="宋体" w:eastAsia="宋体" w:cs="宋体"/>
          <w:strike w:val="0"/>
          <w:dstrike w:val="0"/>
          <w:color w:val="auto"/>
          <w:sz w:val="24"/>
          <w:szCs w:val="24"/>
          <w:highlight w:val="none"/>
          <w:lang w:val="en-US" w:eastAsia="zh-CN"/>
        </w:rPr>
        <w:t>统一红线隐患的判定尺度</w:t>
      </w:r>
      <w:r>
        <w:rPr>
          <w:rFonts w:hint="eastAsia" w:ascii="宋体" w:hAnsi="宋体" w:eastAsia="宋体" w:cs="宋体"/>
          <w:color w:val="auto"/>
          <w:sz w:val="24"/>
          <w:szCs w:val="24"/>
          <w:highlight w:val="none"/>
          <w:lang w:val="en-US" w:eastAsia="zh-CN"/>
        </w:rPr>
        <w:t>，为设备的安全管理提供公正、科学的依据，确保建筑起重机械、附着式升降脚手架和高处作业吊篮的安全使用，根据有关法律法规、标准规范和历年各类事故原因的研究分析，编制本指引。</w:t>
      </w:r>
      <w:r>
        <w:rPr>
          <w:rFonts w:hint="eastAsia" w:ascii="宋体" w:hAnsi="宋体" w:eastAsia="宋体" w:cs="宋体"/>
          <w:color w:val="auto"/>
          <w:kern w:val="0"/>
          <w:sz w:val="24"/>
          <w:szCs w:val="24"/>
          <w:highlight w:val="none"/>
          <w:lang w:val="en-US" w:eastAsia="zh-CN" w:bidi="ar"/>
        </w:rPr>
        <w:t>本</w:t>
      </w:r>
      <w:r>
        <w:rPr>
          <w:rFonts w:hint="eastAsia" w:ascii="宋体" w:hAnsi="宋体" w:eastAsia="宋体" w:cs="宋体"/>
          <w:color w:val="auto"/>
          <w:sz w:val="24"/>
          <w:szCs w:val="24"/>
          <w:highlight w:val="none"/>
          <w:lang w:val="en-US" w:eastAsia="zh-CN"/>
        </w:rPr>
        <w:t>指引</w:t>
      </w:r>
      <w:r>
        <w:rPr>
          <w:rFonts w:hint="eastAsia" w:ascii="宋体" w:hAnsi="宋体" w:eastAsia="宋体" w:cs="宋体"/>
          <w:strike w:val="0"/>
          <w:dstrike w:val="0"/>
          <w:color w:val="auto"/>
          <w:kern w:val="0"/>
          <w:sz w:val="24"/>
          <w:szCs w:val="24"/>
          <w:highlight w:val="none"/>
          <w:lang w:val="en-US" w:eastAsia="zh-CN" w:bidi="ar"/>
        </w:rPr>
        <w:t>明确</w:t>
      </w:r>
      <w:r>
        <w:rPr>
          <w:rFonts w:hint="eastAsia" w:ascii="宋体" w:hAnsi="宋体" w:eastAsia="宋体" w:cs="宋体"/>
          <w:color w:val="auto"/>
          <w:kern w:val="0"/>
          <w:sz w:val="24"/>
          <w:szCs w:val="24"/>
          <w:highlight w:val="none"/>
          <w:lang w:val="en-US" w:eastAsia="zh-CN" w:bidi="ar"/>
        </w:rPr>
        <w:t>了第三方检查单位资质和人员能力、工作流程要求，以及红线隐患判定标准。</w:t>
      </w:r>
    </w:p>
    <w:p w14:paraId="689FF843">
      <w:pPr>
        <w:rPr>
          <w:rFonts w:hint="default" w:ascii="宋体" w:hAnsi="宋体" w:eastAsia="宋体" w:cs="宋体"/>
          <w:color w:val="000000"/>
          <w:kern w:val="0"/>
          <w:sz w:val="24"/>
          <w:szCs w:val="24"/>
          <w:lang w:val="en-US" w:eastAsia="zh-CN" w:bidi="ar"/>
        </w:rPr>
      </w:pPr>
      <w:r>
        <w:rPr>
          <w:rFonts w:hint="eastAsia" w:ascii="宋体" w:hAnsi="宋体" w:eastAsia="宋体" w:cs="宋体"/>
          <w:b/>
          <w:bCs/>
          <w:color w:val="auto"/>
          <w:sz w:val="24"/>
          <w:szCs w:val="24"/>
          <w:lang w:val="en-US" w:eastAsia="zh-CN"/>
        </w:rPr>
        <w:t xml:space="preserve">1.0.2  </w:t>
      </w:r>
      <w:r>
        <w:rPr>
          <w:rFonts w:hint="eastAsia" w:ascii="宋体" w:hAnsi="宋体" w:eastAsia="宋体" w:cs="宋体"/>
          <w:b w:val="0"/>
          <w:bCs w:val="0"/>
          <w:color w:val="auto"/>
          <w:kern w:val="0"/>
          <w:sz w:val="24"/>
          <w:szCs w:val="24"/>
          <w:lang w:val="en-US" w:eastAsia="zh-CN" w:bidi="ar"/>
        </w:rPr>
        <w:t>本指引所称第三方（下同）是指：受建设主管部门聘请或企业</w:t>
      </w:r>
      <w:r>
        <w:rPr>
          <w:rFonts w:hint="eastAsia" w:ascii="宋体" w:hAnsi="宋体" w:eastAsia="宋体" w:cs="宋体"/>
          <w:b w:val="0"/>
          <w:bCs w:val="0"/>
          <w:strike w:val="0"/>
          <w:dstrike w:val="0"/>
          <w:color w:val="auto"/>
          <w:kern w:val="0"/>
          <w:sz w:val="24"/>
          <w:szCs w:val="24"/>
          <w:lang w:val="en-US" w:eastAsia="zh-CN" w:bidi="ar"/>
        </w:rPr>
        <w:t>委托</w:t>
      </w:r>
      <w:r>
        <w:rPr>
          <w:rFonts w:hint="eastAsia" w:ascii="宋体" w:hAnsi="宋体" w:eastAsia="宋体" w:cs="宋体"/>
          <w:b w:val="0"/>
          <w:bCs w:val="0"/>
          <w:color w:val="auto"/>
          <w:kern w:val="0"/>
          <w:sz w:val="24"/>
          <w:szCs w:val="24"/>
          <w:lang w:val="en-US" w:eastAsia="zh-CN" w:bidi="ar"/>
        </w:rPr>
        <w:t>从事</w:t>
      </w:r>
      <w:r>
        <w:rPr>
          <w:rFonts w:hint="eastAsia" w:ascii="宋体" w:hAnsi="宋体" w:eastAsia="宋体" w:cs="宋体"/>
          <w:b w:val="0"/>
          <w:bCs w:val="0"/>
          <w:color w:val="auto"/>
          <w:sz w:val="24"/>
          <w:szCs w:val="24"/>
          <w:lang w:val="en-US" w:eastAsia="zh-CN"/>
        </w:rPr>
        <w:t>建筑起重机械、附着式升降脚手架和高处作业吊篮安全技术检查工作（不包括安装后的首次检测和检测有效期到期后的复检）的检验检测机构。</w:t>
      </w:r>
      <w:r>
        <w:rPr>
          <w:rFonts w:hint="eastAsia" w:ascii="宋体" w:hAnsi="宋体" w:eastAsia="宋体" w:cs="宋体"/>
          <w:b w:val="0"/>
          <w:bCs w:val="0"/>
          <w:color w:val="auto"/>
          <w:kern w:val="0"/>
          <w:sz w:val="24"/>
          <w:szCs w:val="24"/>
          <w:lang w:val="en-US" w:eastAsia="zh-CN" w:bidi="ar"/>
        </w:rPr>
        <w:t>聘请或</w:t>
      </w:r>
      <w:r>
        <w:rPr>
          <w:rFonts w:hint="eastAsia" w:ascii="宋体" w:hAnsi="宋体" w:eastAsia="宋体" w:cs="宋体"/>
          <w:b w:val="0"/>
          <w:bCs w:val="0"/>
          <w:strike w:val="0"/>
          <w:dstrike w:val="0"/>
          <w:color w:val="auto"/>
          <w:sz w:val="24"/>
          <w:szCs w:val="24"/>
          <w:lang w:val="en-US" w:eastAsia="zh-CN"/>
        </w:rPr>
        <w:t>委托方有特殊要求的，从其要求；</w:t>
      </w:r>
      <w:r>
        <w:rPr>
          <w:rFonts w:hint="eastAsia" w:ascii="宋体" w:hAnsi="宋体" w:eastAsia="宋体" w:cs="宋体"/>
          <w:b w:val="0"/>
          <w:bCs w:val="0"/>
          <w:color w:val="auto"/>
          <w:sz w:val="24"/>
          <w:szCs w:val="24"/>
          <w:lang w:val="en-US" w:eastAsia="zh-CN"/>
        </w:rPr>
        <w:t>指引中所称建筑起重机械，包括：塔式起重机、施工升降机、物料提升机、桥（门）式起重机、流动起重机、汽车（轮胎）起重机等。</w:t>
      </w:r>
    </w:p>
    <w:p w14:paraId="47B58097">
      <w:pPr>
        <w:keepNext w:val="0"/>
        <w:keepLines w:val="0"/>
        <w:widowControl/>
        <w:suppressLineNumbers w:val="0"/>
        <w:jc w:val="left"/>
        <w:rPr>
          <w:rFonts w:hint="eastAsia" w:ascii="宋体" w:hAnsi="宋体" w:eastAsia="宋体" w:cs="宋体"/>
          <w:strike/>
          <w:dstrike w:val="0"/>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 xml:space="preserve">1.0.3  </w:t>
      </w:r>
      <w:r>
        <w:rPr>
          <w:rFonts w:hint="eastAsia" w:ascii="宋体" w:hAnsi="宋体" w:eastAsia="宋体" w:cs="宋体"/>
          <w:b w:val="0"/>
          <w:bCs w:val="0"/>
          <w:strike w:val="0"/>
          <w:dstrike w:val="0"/>
          <w:color w:val="auto"/>
          <w:kern w:val="0"/>
          <w:sz w:val="24"/>
          <w:szCs w:val="24"/>
          <w:lang w:val="en-US" w:eastAsia="zh-CN" w:bidi="ar"/>
        </w:rPr>
        <w:t>红线</w:t>
      </w:r>
      <w:r>
        <w:rPr>
          <w:rFonts w:hint="eastAsia" w:ascii="宋体" w:hAnsi="宋体" w:eastAsia="宋体" w:cs="宋体"/>
          <w:b w:val="0"/>
          <w:bCs w:val="0"/>
          <w:color w:val="auto"/>
          <w:kern w:val="0"/>
          <w:sz w:val="24"/>
          <w:szCs w:val="24"/>
          <w:lang w:val="en-US" w:eastAsia="zh-CN" w:bidi="ar"/>
        </w:rPr>
        <w:t>隐患是指有可能导致事故发生，</w:t>
      </w:r>
      <w:r>
        <w:rPr>
          <w:rFonts w:hint="eastAsia" w:ascii="宋体" w:hAnsi="宋体" w:eastAsia="宋体" w:cs="宋体"/>
          <w:b w:val="0"/>
          <w:bCs w:val="0"/>
          <w:color w:val="auto"/>
          <w:sz w:val="24"/>
          <w:szCs w:val="24"/>
          <w:lang w:val="en-US" w:eastAsia="zh-CN"/>
        </w:rPr>
        <w:t>建筑起重机械、附着式升降脚手架和高处作业吊篮</w:t>
      </w:r>
      <w:r>
        <w:rPr>
          <w:rFonts w:hint="eastAsia" w:ascii="宋体" w:hAnsi="宋体" w:eastAsia="宋体" w:cs="宋体"/>
          <w:b w:val="0"/>
          <w:bCs w:val="0"/>
          <w:color w:val="auto"/>
          <w:kern w:val="0"/>
          <w:sz w:val="24"/>
          <w:szCs w:val="24"/>
          <w:lang w:val="en-US" w:eastAsia="zh-CN" w:bidi="ar"/>
        </w:rPr>
        <w:t>必须立即停止使用的情形。受聘请或委托的检验检测机构在安全技术检查中发现</w:t>
      </w:r>
      <w:r>
        <w:rPr>
          <w:rFonts w:hint="eastAsia" w:ascii="宋体" w:hAnsi="宋体" w:eastAsia="宋体" w:cs="宋体"/>
          <w:b w:val="0"/>
          <w:bCs w:val="0"/>
          <w:color w:val="auto"/>
          <w:sz w:val="24"/>
          <w:szCs w:val="24"/>
          <w:lang w:val="en-US" w:eastAsia="zh-CN"/>
        </w:rPr>
        <w:t>建筑起重机械、附着式升降脚手架和高处作业吊篮存在</w:t>
      </w:r>
      <w:r>
        <w:rPr>
          <w:rFonts w:hint="eastAsia" w:ascii="宋体" w:hAnsi="宋体" w:eastAsia="宋体" w:cs="宋体"/>
          <w:b w:val="0"/>
          <w:bCs w:val="0"/>
          <w:strike w:val="0"/>
          <w:dstrike w:val="0"/>
          <w:color w:val="auto"/>
          <w:kern w:val="0"/>
          <w:sz w:val="24"/>
          <w:szCs w:val="24"/>
          <w:lang w:val="en-US" w:eastAsia="zh-CN" w:bidi="ar"/>
        </w:rPr>
        <w:t>红线</w:t>
      </w:r>
      <w:r>
        <w:rPr>
          <w:rFonts w:hint="eastAsia" w:ascii="宋体" w:hAnsi="宋体" w:eastAsia="宋体" w:cs="宋体"/>
          <w:b w:val="0"/>
          <w:bCs w:val="0"/>
          <w:color w:val="auto"/>
          <w:sz w:val="24"/>
          <w:szCs w:val="24"/>
          <w:lang w:val="en-US" w:eastAsia="zh-CN"/>
        </w:rPr>
        <w:t>隐患</w:t>
      </w:r>
      <w:r>
        <w:rPr>
          <w:rFonts w:hint="eastAsia" w:ascii="宋体" w:hAnsi="宋体" w:eastAsia="宋体" w:cs="宋体"/>
          <w:b w:val="0"/>
          <w:bCs w:val="0"/>
          <w:color w:val="auto"/>
          <w:kern w:val="0"/>
          <w:sz w:val="24"/>
          <w:szCs w:val="24"/>
          <w:lang w:val="en-US" w:eastAsia="zh-CN" w:bidi="ar"/>
        </w:rPr>
        <w:t>的，应立即向被检查单位反馈，并报告聘请或委托单位。红线隐患包含建设主管部门认定的重大事故隐患。</w:t>
      </w:r>
    </w:p>
    <w:p w14:paraId="7613A07D">
      <w:pPr>
        <w:keepNext w:val="0"/>
        <w:keepLines w:val="0"/>
        <w:widowControl/>
        <w:suppressLineNumbers w:val="0"/>
        <w:jc w:val="left"/>
        <w:rPr>
          <w:rFonts w:hint="default" w:ascii="宋体" w:hAnsi="宋体" w:eastAsia="宋体" w:cs="宋体"/>
          <w:b/>
          <w:bCs/>
          <w:color w:val="92D050"/>
          <w:sz w:val="24"/>
          <w:szCs w:val="24"/>
          <w:lang w:val="en-US" w:eastAsia="zh-CN"/>
          <w14:textFill>
            <w14:gradFill>
              <w14:gsLst>
                <w14:gs w14:pos="0">
                  <w14:srgbClr w14:val="D92763"/>
                </w14:gs>
                <w14:gs w14:pos="50000">
                  <w14:srgbClr w14:val="E3447A"/>
                </w14:gs>
                <w14:gs w14:pos="100000">
                  <w14:srgbClr w14:val="EC6091"/>
                </w14:gs>
              </w14:gsLst>
              <w14:lin w14:ang="5400000" w14:scaled="1"/>
            </w14:gradFill>
          </w14:textFill>
        </w:rPr>
      </w:pPr>
      <w:r>
        <w:rPr>
          <w:rFonts w:hint="eastAsia" w:ascii="宋体" w:hAnsi="宋体" w:eastAsia="宋体" w:cs="宋体"/>
          <w:b/>
          <w:bCs/>
          <w:color w:val="auto"/>
          <w:kern w:val="0"/>
          <w:sz w:val="24"/>
          <w:szCs w:val="24"/>
          <w:lang w:val="en-US" w:eastAsia="zh-CN" w:bidi="ar"/>
        </w:rPr>
        <w:t xml:space="preserve">1.0.4  </w:t>
      </w:r>
      <w:r>
        <w:rPr>
          <w:rFonts w:hint="eastAsia" w:ascii="宋体" w:hAnsi="宋体" w:eastAsia="宋体" w:cs="宋体"/>
          <w:b w:val="0"/>
          <w:bCs w:val="0"/>
          <w:color w:val="auto"/>
          <w:kern w:val="0"/>
          <w:sz w:val="24"/>
          <w:szCs w:val="24"/>
          <w:lang w:val="en-US" w:eastAsia="zh-CN" w:bidi="ar"/>
        </w:rPr>
        <w:t>对现场</w:t>
      </w:r>
      <w:r>
        <w:rPr>
          <w:rFonts w:hint="eastAsia" w:ascii="宋体" w:hAnsi="宋体" w:eastAsia="宋体" w:cs="宋体"/>
          <w:b w:val="0"/>
          <w:bCs w:val="0"/>
          <w:color w:val="auto"/>
          <w:sz w:val="24"/>
          <w:szCs w:val="24"/>
          <w:lang w:val="en-US" w:eastAsia="zh-CN"/>
        </w:rPr>
        <w:t>建筑起重机械、附着式升降脚手架和高处作业吊篮实施第三方安全技术检查工作，应在建筑起重机械、附着式升降脚手架和高处作业吊篮</w:t>
      </w:r>
      <w:r>
        <w:rPr>
          <w:rFonts w:hint="eastAsia" w:ascii="宋体" w:hAnsi="宋体" w:eastAsia="宋体" w:cs="宋体"/>
          <w:b w:val="0"/>
          <w:bCs w:val="0"/>
          <w:color w:val="auto"/>
          <w:kern w:val="0"/>
          <w:sz w:val="24"/>
          <w:szCs w:val="24"/>
          <w:lang w:val="en-US" w:eastAsia="zh-CN" w:bidi="ar"/>
        </w:rPr>
        <w:t>验收合格后开展。</w:t>
      </w:r>
    </w:p>
    <w:p w14:paraId="68010154">
      <w:pPr>
        <w:numPr>
          <w:ilvl w:val="0"/>
          <w:numId w:val="0"/>
        </w:numPr>
        <w:jc w:val="center"/>
        <w:rPr>
          <w:rFonts w:hint="eastAsia" w:ascii="黑体" w:hAnsi="黑体" w:eastAsia="黑体" w:cs="黑体"/>
          <w:b w:val="0"/>
          <w:bCs w:val="0"/>
          <w:color w:val="auto"/>
          <w:kern w:val="2"/>
          <w:sz w:val="28"/>
          <w:szCs w:val="28"/>
          <w:lang w:val="en-US" w:eastAsia="zh-CN" w:bidi="ar-SA"/>
        </w:rPr>
      </w:pPr>
    </w:p>
    <w:p w14:paraId="5DF3E76D">
      <w:pPr>
        <w:numPr>
          <w:ilvl w:val="0"/>
          <w:numId w:val="0"/>
        </w:numPr>
        <w:jc w:val="center"/>
        <w:rPr>
          <w:rFonts w:hint="eastAsia" w:ascii="黑体" w:hAnsi="黑体" w:eastAsia="黑体" w:cs="黑体"/>
          <w:b w:val="0"/>
          <w:bCs w:val="0"/>
          <w:color w:val="auto"/>
          <w:kern w:val="2"/>
          <w:sz w:val="28"/>
          <w:szCs w:val="28"/>
          <w:lang w:val="en-US" w:eastAsia="zh-CN" w:bidi="ar-SA"/>
        </w:rPr>
      </w:pPr>
    </w:p>
    <w:p w14:paraId="50B616B6">
      <w:pPr>
        <w:numPr>
          <w:ilvl w:val="0"/>
          <w:numId w:val="0"/>
        </w:numPr>
        <w:jc w:val="center"/>
        <w:rPr>
          <w:rFonts w:hint="eastAsia" w:ascii="黑体" w:hAnsi="黑体" w:eastAsia="黑体" w:cs="黑体"/>
          <w:b w:val="0"/>
          <w:bCs w:val="0"/>
          <w:color w:val="auto"/>
          <w:kern w:val="2"/>
          <w:sz w:val="28"/>
          <w:szCs w:val="28"/>
          <w:lang w:val="en-US" w:eastAsia="zh-CN" w:bidi="ar-SA"/>
        </w:rPr>
      </w:pPr>
    </w:p>
    <w:p w14:paraId="0F7FDB71">
      <w:pPr>
        <w:numPr>
          <w:ilvl w:val="0"/>
          <w:numId w:val="0"/>
        </w:numPr>
        <w:jc w:val="both"/>
        <w:rPr>
          <w:rFonts w:hint="eastAsia" w:ascii="黑体" w:hAnsi="黑体" w:eastAsia="黑体" w:cs="黑体"/>
          <w:b w:val="0"/>
          <w:bCs w:val="0"/>
          <w:color w:val="auto"/>
          <w:kern w:val="2"/>
          <w:sz w:val="28"/>
          <w:szCs w:val="28"/>
          <w:lang w:val="en-US" w:eastAsia="zh-CN" w:bidi="ar-SA"/>
          <w14:textFill>
            <w14:gradFill>
              <w14:gsLst>
                <w14:gs w14:pos="0">
                  <w14:srgbClr w14:val="D92763"/>
                </w14:gs>
                <w14:gs w14:pos="50000">
                  <w14:srgbClr w14:val="E3447A"/>
                </w14:gs>
                <w14:gs w14:pos="100000">
                  <w14:srgbClr w14:val="EC6091"/>
                </w14:gs>
              </w14:gsLst>
              <w14:lin w14:ang="5400000" w14:scaled="1"/>
            </w14:gradFill>
          </w14:textFill>
        </w:rPr>
      </w:pPr>
    </w:p>
    <w:p w14:paraId="1B29E27E">
      <w:pPr>
        <w:numPr>
          <w:ilvl w:val="0"/>
          <w:numId w:val="0"/>
        </w:numPr>
        <w:jc w:val="center"/>
        <w:rPr>
          <w:rFonts w:hint="eastAsia" w:ascii="黑体" w:hAnsi="黑体" w:eastAsia="黑体" w:cs="黑体"/>
          <w:b w:val="0"/>
          <w:bCs w:val="0"/>
          <w:color w:val="auto"/>
          <w:kern w:val="2"/>
          <w:sz w:val="28"/>
          <w:szCs w:val="28"/>
          <w:lang w:val="en-US" w:eastAsia="zh-CN" w:bidi="ar-SA"/>
        </w:rPr>
      </w:pPr>
    </w:p>
    <w:p w14:paraId="1ED7E1AA">
      <w:pPr>
        <w:numPr>
          <w:ilvl w:val="0"/>
          <w:numId w:val="0"/>
        </w:numPr>
        <w:jc w:val="center"/>
        <w:rPr>
          <w:rFonts w:hint="eastAsia" w:ascii="黑体" w:hAnsi="黑体" w:eastAsia="黑体" w:cs="黑体"/>
          <w:b w:val="0"/>
          <w:bCs w:val="0"/>
          <w:color w:val="auto"/>
          <w:kern w:val="2"/>
          <w:sz w:val="28"/>
          <w:szCs w:val="28"/>
          <w:lang w:val="en-US" w:eastAsia="zh-CN" w:bidi="ar-SA"/>
        </w:rPr>
      </w:pPr>
    </w:p>
    <w:p w14:paraId="5573735B">
      <w:pPr>
        <w:numPr>
          <w:ilvl w:val="0"/>
          <w:numId w:val="0"/>
        </w:numPr>
        <w:jc w:val="center"/>
        <w:rPr>
          <w:rFonts w:hint="eastAsia" w:ascii="黑体" w:hAnsi="黑体" w:eastAsia="黑体" w:cs="黑体"/>
          <w:b w:val="0"/>
          <w:bCs w:val="0"/>
          <w:color w:val="auto"/>
          <w:kern w:val="2"/>
          <w:sz w:val="28"/>
          <w:szCs w:val="28"/>
          <w:lang w:val="en-US" w:eastAsia="zh-CN" w:bidi="ar-SA"/>
        </w:rPr>
      </w:pPr>
    </w:p>
    <w:p w14:paraId="56E64489">
      <w:pPr>
        <w:numPr>
          <w:ilvl w:val="0"/>
          <w:numId w:val="0"/>
        </w:numPr>
        <w:jc w:val="both"/>
        <w:rPr>
          <w:rFonts w:hint="eastAsia" w:ascii="宋体" w:hAnsi="宋体" w:eastAsia="宋体" w:cs="宋体"/>
          <w:b/>
          <w:bCs/>
          <w:color w:val="auto"/>
          <w:kern w:val="2"/>
          <w:sz w:val="28"/>
          <w:szCs w:val="28"/>
          <w:lang w:val="en-US" w:eastAsia="zh-CN" w:bidi="ar-SA"/>
        </w:rPr>
      </w:pPr>
    </w:p>
    <w:p w14:paraId="46AC2672">
      <w:pPr>
        <w:numPr>
          <w:ilvl w:val="0"/>
          <w:numId w:val="0"/>
        </w:numPr>
        <w:ind w:firstLine="0" w:firstLineChars="0"/>
        <w:jc w:val="center"/>
        <w:rPr>
          <w:rFonts w:hint="eastAsia" w:ascii="宋体" w:hAnsi="宋体" w:eastAsia="宋体" w:cs="宋体"/>
          <w:sz w:val="24"/>
          <w:szCs w:val="24"/>
          <w:lang w:val="en-US" w:eastAsia="zh-CN"/>
        </w:rPr>
      </w:pPr>
      <w:r>
        <w:rPr>
          <w:rFonts w:hint="eastAsia" w:ascii="宋体" w:hAnsi="宋体" w:eastAsia="宋体" w:cs="宋体"/>
          <w:b/>
          <w:bCs/>
          <w:color w:val="auto"/>
          <w:kern w:val="2"/>
          <w:sz w:val="28"/>
          <w:szCs w:val="28"/>
          <w:lang w:val="en-US" w:eastAsia="zh-CN" w:bidi="ar-SA"/>
        </w:rPr>
        <w:t>2  编制依据</w:t>
      </w:r>
    </w:p>
    <w:p w14:paraId="081FEBB3">
      <w:pPr>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编制依据包括且不仅限于下列法规、技术规范、标准等，均为现行有效。</w:t>
      </w:r>
    </w:p>
    <w:p w14:paraId="5CCF94A8">
      <w:pPr>
        <w:numPr>
          <w:ilvl w:val="0"/>
          <w:numId w:val="0"/>
        </w:numPr>
        <w:ind w:left="0" w:leftChars="0" w:firstLine="320" w:firstLineChars="133"/>
        <w:jc w:val="left"/>
        <w:rPr>
          <w:rFonts w:hint="eastAsia" w:ascii="宋体" w:hAnsi="宋体" w:eastAsia="宋体" w:cs="宋体"/>
          <w:color w:val="auto"/>
          <w:sz w:val="24"/>
          <w:szCs w:val="24"/>
          <w:lang w:val="en-US" w:eastAsia="zh-CN"/>
        </w:rPr>
      </w:pPr>
      <w:r>
        <w:rPr>
          <w:rFonts w:hint="eastAsia" w:ascii="宋体" w:hAnsi="宋体" w:eastAsia="宋体" w:cs="宋体"/>
          <w:b/>
          <w:bCs/>
          <w:sz w:val="24"/>
          <w:szCs w:val="24"/>
          <w:lang w:val="en-US" w:eastAsia="zh-CN"/>
        </w:rPr>
        <w:t>1.</w:t>
      </w:r>
      <w:r>
        <w:rPr>
          <w:rFonts w:hint="eastAsia" w:ascii="宋体" w:hAnsi="宋体" w:eastAsia="宋体" w:cs="宋体"/>
          <w:color w:val="auto"/>
          <w:sz w:val="24"/>
          <w:szCs w:val="24"/>
          <w:lang w:val="en-US" w:eastAsia="zh-CN"/>
        </w:rPr>
        <w:t>《特种设备安全法》</w:t>
      </w:r>
    </w:p>
    <w:p w14:paraId="4598EE6A">
      <w:pPr>
        <w:numPr>
          <w:ilvl w:val="0"/>
          <w:numId w:val="0"/>
        </w:numPr>
        <w:ind w:left="0" w:leftChars="0" w:firstLine="320" w:firstLineChars="133"/>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2.</w:t>
      </w:r>
      <w:r>
        <w:rPr>
          <w:rFonts w:hint="eastAsia" w:ascii="宋体" w:hAnsi="宋体" w:eastAsia="宋体" w:cs="宋体"/>
          <w:color w:val="auto"/>
          <w:sz w:val="24"/>
          <w:szCs w:val="24"/>
          <w:lang w:val="en-US" w:eastAsia="zh-CN"/>
        </w:rPr>
        <w:t>《塔式起重机》GB/T 5031</w:t>
      </w:r>
    </w:p>
    <w:p w14:paraId="201C5278">
      <w:pPr>
        <w:numPr>
          <w:ilvl w:val="0"/>
          <w:numId w:val="0"/>
        </w:numPr>
        <w:ind w:left="0" w:leftChars="0" w:firstLine="320" w:firstLineChars="133"/>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3.</w:t>
      </w:r>
      <w:r>
        <w:rPr>
          <w:rFonts w:hint="eastAsia" w:ascii="宋体" w:hAnsi="宋体" w:eastAsia="宋体" w:cs="宋体"/>
          <w:color w:val="auto"/>
          <w:sz w:val="24"/>
          <w:szCs w:val="24"/>
          <w:lang w:val="en-US" w:eastAsia="zh-CN"/>
        </w:rPr>
        <w:t>《吊笼有垂直导向的人货两用施工升降机》GB/T 26557</w:t>
      </w:r>
    </w:p>
    <w:p w14:paraId="671A8C5D">
      <w:pPr>
        <w:numPr>
          <w:ilvl w:val="0"/>
          <w:numId w:val="0"/>
        </w:numPr>
        <w:ind w:left="0" w:leftChars="0" w:firstLine="320" w:firstLineChars="133"/>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4.</w:t>
      </w:r>
      <w:r>
        <w:rPr>
          <w:rFonts w:hint="eastAsia" w:ascii="宋体" w:hAnsi="宋体" w:eastAsia="宋体" w:cs="宋体"/>
          <w:color w:val="auto"/>
          <w:sz w:val="24"/>
          <w:szCs w:val="24"/>
          <w:lang w:val="en-US" w:eastAsia="zh-CN"/>
        </w:rPr>
        <w:t>《起重机械安全技术规程》TSG 51</w:t>
      </w:r>
    </w:p>
    <w:p w14:paraId="49A933C4">
      <w:pPr>
        <w:numPr>
          <w:ilvl w:val="0"/>
          <w:numId w:val="0"/>
        </w:numPr>
        <w:ind w:left="0" w:leftChars="0" w:firstLine="320" w:firstLineChars="133"/>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5.</w:t>
      </w:r>
      <w:r>
        <w:rPr>
          <w:rFonts w:hint="eastAsia" w:ascii="宋体" w:hAnsi="宋体" w:eastAsia="宋体" w:cs="宋体"/>
          <w:color w:val="auto"/>
          <w:sz w:val="24"/>
          <w:szCs w:val="24"/>
          <w:lang w:val="en-US" w:eastAsia="zh-CN"/>
        </w:rPr>
        <w:t>《建筑施工升降设备设施检查标准》JGJ 305</w:t>
      </w:r>
    </w:p>
    <w:p w14:paraId="07123ACC">
      <w:pPr>
        <w:numPr>
          <w:ilvl w:val="0"/>
          <w:numId w:val="0"/>
        </w:numPr>
        <w:ind w:left="0" w:leftChars="0" w:firstLine="320" w:firstLineChars="133"/>
        <w:jc w:val="left"/>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6.</w:t>
      </w:r>
      <w:r>
        <w:rPr>
          <w:rFonts w:hint="eastAsia" w:ascii="宋体" w:hAnsi="宋体" w:eastAsia="宋体" w:cs="宋体"/>
          <w:b w:val="0"/>
          <w:bCs w:val="0"/>
          <w:color w:val="auto"/>
          <w:sz w:val="24"/>
          <w:szCs w:val="24"/>
          <w:lang w:val="en-US" w:eastAsia="zh-CN"/>
        </w:rPr>
        <w:t>《装配型附着式升降脚手架安全技术规程》DBJ33/T 1292</w:t>
      </w:r>
    </w:p>
    <w:p w14:paraId="19793E73">
      <w:pPr>
        <w:numPr>
          <w:ilvl w:val="0"/>
          <w:numId w:val="0"/>
        </w:numPr>
        <w:ind w:left="0" w:leftChars="0" w:firstLine="320" w:firstLineChars="133"/>
        <w:jc w:val="left"/>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7.</w:t>
      </w:r>
      <w:r>
        <w:rPr>
          <w:rFonts w:hint="eastAsia" w:ascii="宋体" w:hAnsi="宋体" w:eastAsia="宋体" w:cs="宋体"/>
          <w:b w:val="0"/>
          <w:bCs w:val="0"/>
          <w:color w:val="auto"/>
          <w:sz w:val="24"/>
          <w:szCs w:val="24"/>
          <w:lang w:val="en-US" w:eastAsia="zh-CN"/>
        </w:rPr>
        <w:t>《建筑施工高处作业品篮安全技术规程》DBJ33/T 1271</w:t>
      </w:r>
    </w:p>
    <w:p w14:paraId="20374343">
      <w:pPr>
        <w:numPr>
          <w:ilvl w:val="0"/>
          <w:numId w:val="0"/>
        </w:numPr>
        <w:ind w:left="0" w:leftChars="0" w:firstLine="320" w:firstLineChars="133"/>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8</w:t>
      </w:r>
      <w:r>
        <w:rPr>
          <w:rFonts w:hint="eastAsia" w:ascii="宋体" w:hAnsi="宋体" w:eastAsia="宋体" w:cs="宋体"/>
          <w:color w:val="auto"/>
          <w:sz w:val="24"/>
          <w:szCs w:val="24"/>
          <w:lang w:val="en-US" w:eastAsia="zh-CN"/>
        </w:rPr>
        <w:t>.</w:t>
      </w:r>
      <w:r>
        <w:rPr>
          <w:rFonts w:hint="eastAsia" w:ascii="宋体" w:hAnsi="宋体" w:eastAsia="宋体" w:cs="宋体"/>
          <w:b w:val="0"/>
          <w:bCs w:val="0"/>
          <w:color w:val="auto"/>
          <w:kern w:val="2"/>
          <w:sz w:val="24"/>
          <w:szCs w:val="24"/>
          <w:lang w:val="en-US" w:eastAsia="zh-CN" w:bidi="ar-SA"/>
        </w:rPr>
        <w:t>《建设工程移动式起重机安全检查技术规程》DB33/T 1244</w:t>
      </w:r>
    </w:p>
    <w:p w14:paraId="203D1375">
      <w:pPr>
        <w:numPr>
          <w:ilvl w:val="0"/>
          <w:numId w:val="0"/>
        </w:numPr>
        <w:jc w:val="center"/>
        <w:rPr>
          <w:rFonts w:hint="eastAsia" w:ascii="黑体" w:hAnsi="黑体" w:eastAsia="黑体" w:cs="黑体"/>
          <w:b w:val="0"/>
          <w:bCs w:val="0"/>
          <w:color w:val="auto"/>
          <w:kern w:val="2"/>
          <w:sz w:val="28"/>
          <w:szCs w:val="28"/>
          <w:lang w:val="en-US" w:eastAsia="zh-CN" w:bidi="ar-SA"/>
        </w:rPr>
      </w:pPr>
    </w:p>
    <w:p w14:paraId="30CEF253">
      <w:pPr>
        <w:numPr>
          <w:ilvl w:val="0"/>
          <w:numId w:val="0"/>
        </w:numPr>
        <w:jc w:val="center"/>
        <w:rPr>
          <w:rFonts w:hint="eastAsia" w:ascii="黑体" w:hAnsi="黑体" w:eastAsia="黑体" w:cs="黑体"/>
          <w:b w:val="0"/>
          <w:bCs w:val="0"/>
          <w:color w:val="auto"/>
          <w:kern w:val="2"/>
          <w:sz w:val="28"/>
          <w:szCs w:val="28"/>
          <w:lang w:val="en-US" w:eastAsia="zh-CN" w:bidi="ar-SA"/>
        </w:rPr>
      </w:pPr>
    </w:p>
    <w:p w14:paraId="7742DE39">
      <w:pPr>
        <w:numPr>
          <w:ilvl w:val="0"/>
          <w:numId w:val="0"/>
        </w:numPr>
        <w:jc w:val="both"/>
        <w:rPr>
          <w:rFonts w:hint="eastAsia" w:ascii="黑体" w:hAnsi="黑体" w:eastAsia="黑体" w:cs="黑体"/>
          <w:b w:val="0"/>
          <w:bCs w:val="0"/>
          <w:color w:val="auto"/>
          <w:kern w:val="2"/>
          <w:sz w:val="28"/>
          <w:szCs w:val="28"/>
          <w:lang w:val="en-US" w:eastAsia="zh-CN" w:bidi="ar-SA"/>
        </w:rPr>
      </w:pPr>
    </w:p>
    <w:p w14:paraId="05424B3F">
      <w:pPr>
        <w:numPr>
          <w:ilvl w:val="0"/>
          <w:numId w:val="0"/>
        </w:numPr>
        <w:jc w:val="both"/>
        <w:rPr>
          <w:rFonts w:hint="eastAsia" w:ascii="黑体" w:hAnsi="黑体" w:eastAsia="黑体" w:cs="黑体"/>
          <w:b w:val="0"/>
          <w:bCs w:val="0"/>
          <w:color w:val="auto"/>
          <w:kern w:val="2"/>
          <w:sz w:val="28"/>
          <w:szCs w:val="28"/>
          <w:lang w:val="en-US" w:eastAsia="zh-CN" w:bidi="ar-SA"/>
        </w:rPr>
      </w:pPr>
    </w:p>
    <w:p w14:paraId="1DF0E3FF">
      <w:pPr>
        <w:numPr>
          <w:ilvl w:val="0"/>
          <w:numId w:val="0"/>
        </w:numPr>
        <w:jc w:val="both"/>
        <w:rPr>
          <w:rFonts w:hint="eastAsia" w:ascii="黑体" w:hAnsi="黑体" w:eastAsia="黑体" w:cs="黑体"/>
          <w:b w:val="0"/>
          <w:bCs w:val="0"/>
          <w:color w:val="auto"/>
          <w:kern w:val="2"/>
          <w:sz w:val="28"/>
          <w:szCs w:val="28"/>
          <w:lang w:val="en-US" w:eastAsia="zh-CN" w:bidi="ar-SA"/>
        </w:rPr>
      </w:pPr>
    </w:p>
    <w:p w14:paraId="0D34CB5E">
      <w:pPr>
        <w:numPr>
          <w:ilvl w:val="0"/>
          <w:numId w:val="0"/>
        </w:numPr>
        <w:jc w:val="center"/>
        <w:rPr>
          <w:rFonts w:hint="eastAsia" w:ascii="黑体" w:hAnsi="黑体" w:eastAsia="黑体" w:cs="黑体"/>
          <w:b w:val="0"/>
          <w:bCs w:val="0"/>
          <w:color w:val="auto"/>
          <w:kern w:val="2"/>
          <w:sz w:val="28"/>
          <w:szCs w:val="28"/>
          <w:lang w:val="en-US" w:eastAsia="zh-CN" w:bidi="ar-SA"/>
        </w:rPr>
      </w:pPr>
    </w:p>
    <w:p w14:paraId="3CD5380F">
      <w:pPr>
        <w:numPr>
          <w:ilvl w:val="0"/>
          <w:numId w:val="0"/>
        </w:numPr>
        <w:jc w:val="center"/>
        <w:rPr>
          <w:rFonts w:hint="eastAsia" w:ascii="黑体" w:hAnsi="黑体" w:eastAsia="黑体" w:cs="黑体"/>
          <w:b w:val="0"/>
          <w:bCs w:val="0"/>
          <w:color w:val="auto"/>
          <w:kern w:val="2"/>
          <w:sz w:val="28"/>
          <w:szCs w:val="28"/>
          <w:lang w:val="en-US" w:eastAsia="zh-CN" w:bidi="ar-SA"/>
        </w:rPr>
      </w:pPr>
    </w:p>
    <w:p w14:paraId="1450BD3D">
      <w:pPr>
        <w:numPr>
          <w:ilvl w:val="0"/>
          <w:numId w:val="0"/>
        </w:numPr>
        <w:jc w:val="center"/>
        <w:rPr>
          <w:rFonts w:hint="eastAsia" w:ascii="黑体" w:hAnsi="黑体" w:eastAsia="黑体" w:cs="黑体"/>
          <w:b w:val="0"/>
          <w:bCs w:val="0"/>
          <w:color w:val="auto"/>
          <w:kern w:val="2"/>
          <w:sz w:val="28"/>
          <w:szCs w:val="28"/>
          <w:lang w:val="en-US" w:eastAsia="zh-CN" w:bidi="ar-SA"/>
        </w:rPr>
      </w:pPr>
    </w:p>
    <w:p w14:paraId="1B3DD324">
      <w:pPr>
        <w:numPr>
          <w:ilvl w:val="0"/>
          <w:numId w:val="0"/>
        </w:numPr>
        <w:jc w:val="center"/>
        <w:rPr>
          <w:rFonts w:hint="eastAsia" w:ascii="黑体" w:hAnsi="黑体" w:eastAsia="黑体" w:cs="黑体"/>
          <w:b w:val="0"/>
          <w:bCs w:val="0"/>
          <w:color w:val="auto"/>
          <w:kern w:val="2"/>
          <w:sz w:val="28"/>
          <w:szCs w:val="28"/>
          <w:lang w:val="en-US" w:eastAsia="zh-CN" w:bidi="ar-SA"/>
        </w:rPr>
      </w:pPr>
    </w:p>
    <w:p w14:paraId="0465C700">
      <w:pPr>
        <w:numPr>
          <w:ilvl w:val="0"/>
          <w:numId w:val="0"/>
        </w:numPr>
        <w:jc w:val="center"/>
        <w:rPr>
          <w:rFonts w:hint="eastAsia" w:ascii="黑体" w:hAnsi="黑体" w:eastAsia="黑体" w:cs="黑体"/>
          <w:b w:val="0"/>
          <w:bCs w:val="0"/>
          <w:color w:val="auto"/>
          <w:kern w:val="2"/>
          <w:sz w:val="28"/>
          <w:szCs w:val="28"/>
          <w:lang w:val="en-US" w:eastAsia="zh-CN" w:bidi="ar-SA"/>
        </w:rPr>
      </w:pPr>
    </w:p>
    <w:p w14:paraId="7D94EC7B">
      <w:pPr>
        <w:numPr>
          <w:ilvl w:val="0"/>
          <w:numId w:val="0"/>
        </w:numPr>
        <w:jc w:val="center"/>
        <w:rPr>
          <w:rFonts w:hint="eastAsia" w:ascii="黑体" w:hAnsi="黑体" w:eastAsia="黑体" w:cs="黑体"/>
          <w:b w:val="0"/>
          <w:bCs w:val="0"/>
          <w:color w:val="auto"/>
          <w:kern w:val="2"/>
          <w:sz w:val="28"/>
          <w:szCs w:val="28"/>
          <w:lang w:val="en-US" w:eastAsia="zh-CN" w:bidi="ar-SA"/>
        </w:rPr>
      </w:pPr>
    </w:p>
    <w:p w14:paraId="11D528D2">
      <w:pPr>
        <w:numPr>
          <w:ilvl w:val="0"/>
          <w:numId w:val="0"/>
        </w:numPr>
        <w:jc w:val="center"/>
        <w:rPr>
          <w:rFonts w:hint="eastAsia" w:ascii="黑体" w:hAnsi="黑体" w:eastAsia="黑体" w:cs="黑体"/>
          <w:b w:val="0"/>
          <w:bCs w:val="0"/>
          <w:color w:val="auto"/>
          <w:kern w:val="2"/>
          <w:sz w:val="28"/>
          <w:szCs w:val="28"/>
          <w:lang w:val="en-US" w:eastAsia="zh-CN" w:bidi="ar-SA"/>
        </w:rPr>
      </w:pPr>
    </w:p>
    <w:p w14:paraId="13030A6D">
      <w:pPr>
        <w:numPr>
          <w:ilvl w:val="0"/>
          <w:numId w:val="0"/>
        </w:numPr>
        <w:jc w:val="center"/>
        <w:rPr>
          <w:rFonts w:hint="eastAsia" w:ascii="黑体" w:hAnsi="黑体" w:eastAsia="黑体" w:cs="黑体"/>
          <w:b w:val="0"/>
          <w:bCs w:val="0"/>
          <w:color w:val="auto"/>
          <w:kern w:val="2"/>
          <w:sz w:val="28"/>
          <w:szCs w:val="28"/>
          <w:lang w:val="en-US" w:eastAsia="zh-CN" w:bidi="ar-SA"/>
        </w:rPr>
      </w:pPr>
    </w:p>
    <w:p w14:paraId="760B2CB2">
      <w:pPr>
        <w:numPr>
          <w:ilvl w:val="0"/>
          <w:numId w:val="0"/>
        </w:numPr>
        <w:jc w:val="center"/>
        <w:rPr>
          <w:rFonts w:hint="eastAsia" w:ascii="黑体" w:hAnsi="黑体" w:eastAsia="黑体" w:cs="黑体"/>
          <w:b w:val="0"/>
          <w:bCs w:val="0"/>
          <w:color w:val="auto"/>
          <w:kern w:val="2"/>
          <w:sz w:val="28"/>
          <w:szCs w:val="28"/>
          <w:lang w:val="en-US" w:eastAsia="zh-CN" w:bidi="ar-SA"/>
        </w:rPr>
      </w:pPr>
    </w:p>
    <w:p w14:paraId="44DB8F0C">
      <w:pPr>
        <w:numPr>
          <w:ilvl w:val="0"/>
          <w:numId w:val="0"/>
        </w:numPr>
        <w:ind w:firstLine="0" w:firstLineChars="0"/>
        <w:jc w:val="center"/>
        <w:rPr>
          <w:rFonts w:hint="eastAsia" w:ascii="宋体" w:hAnsi="宋体" w:eastAsia="宋体" w:cs="宋体"/>
          <w:b/>
          <w:bCs/>
          <w:color w:val="auto"/>
          <w:kern w:val="2"/>
          <w:sz w:val="28"/>
          <w:szCs w:val="28"/>
          <w:lang w:val="en-US" w:eastAsia="zh-CN" w:bidi="ar-SA"/>
        </w:rPr>
      </w:pPr>
    </w:p>
    <w:p w14:paraId="43B50002">
      <w:pPr>
        <w:numPr>
          <w:ilvl w:val="0"/>
          <w:numId w:val="0"/>
        </w:numPr>
        <w:ind w:firstLine="0" w:firstLineChars="0"/>
        <w:jc w:val="both"/>
        <w:rPr>
          <w:rFonts w:hint="eastAsia" w:ascii="宋体" w:hAnsi="宋体" w:eastAsia="宋体" w:cs="宋体"/>
          <w:b/>
          <w:bCs/>
          <w:color w:val="auto"/>
          <w:kern w:val="2"/>
          <w:sz w:val="28"/>
          <w:szCs w:val="28"/>
          <w:lang w:val="en-US" w:eastAsia="zh-CN" w:bidi="ar-SA"/>
        </w:rPr>
      </w:pPr>
    </w:p>
    <w:p w14:paraId="5F265101">
      <w:pPr>
        <w:numPr>
          <w:ilvl w:val="0"/>
          <w:numId w:val="0"/>
        </w:numPr>
        <w:ind w:firstLine="0" w:firstLineChars="0"/>
        <w:jc w:val="both"/>
        <w:rPr>
          <w:rFonts w:hint="eastAsia" w:ascii="宋体" w:hAnsi="宋体" w:eastAsia="宋体" w:cs="宋体"/>
          <w:b/>
          <w:bCs/>
          <w:color w:val="auto"/>
          <w:kern w:val="2"/>
          <w:sz w:val="28"/>
          <w:szCs w:val="28"/>
          <w:lang w:val="en-US" w:eastAsia="zh-CN" w:bidi="ar-SA"/>
        </w:rPr>
      </w:pPr>
    </w:p>
    <w:p w14:paraId="511C8A8D">
      <w:pPr>
        <w:numPr>
          <w:ilvl w:val="0"/>
          <w:numId w:val="0"/>
        </w:numPr>
        <w:ind w:firstLine="0" w:firstLineChars="0"/>
        <w:jc w:val="cente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3  基本规定</w:t>
      </w:r>
    </w:p>
    <w:p w14:paraId="133F0A33">
      <w:pPr>
        <w:numPr>
          <w:ilvl w:val="0"/>
          <w:numId w:val="0"/>
        </w:numPr>
        <w:jc w:val="left"/>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bCs/>
          <w:strike w:val="0"/>
          <w:dstrike w:val="0"/>
          <w:color w:val="auto"/>
          <w:kern w:val="2"/>
          <w:sz w:val="24"/>
          <w:szCs w:val="24"/>
          <w:highlight w:val="none"/>
          <w:lang w:val="en-US" w:eastAsia="zh-CN" w:bidi="ar-SA"/>
        </w:rPr>
        <w:t xml:space="preserve">3.0.1  </w:t>
      </w:r>
      <w:r>
        <w:rPr>
          <w:rFonts w:hint="eastAsia" w:ascii="宋体" w:hAnsi="宋体" w:eastAsia="宋体" w:cs="宋体"/>
          <w:b w:val="0"/>
          <w:bCs w:val="0"/>
          <w:strike w:val="0"/>
          <w:dstrike w:val="0"/>
          <w:color w:val="auto"/>
          <w:kern w:val="2"/>
          <w:sz w:val="24"/>
          <w:szCs w:val="24"/>
          <w:highlight w:val="none"/>
          <w:lang w:val="en-US" w:eastAsia="zh-CN" w:bidi="ar-SA"/>
        </w:rPr>
        <w:t>第三方</w:t>
      </w:r>
      <w:r>
        <w:rPr>
          <w:rFonts w:hint="eastAsia" w:ascii="宋体" w:hAnsi="宋体" w:eastAsia="宋体" w:cs="宋体"/>
          <w:b w:val="0"/>
          <w:bCs w:val="0"/>
          <w:strike w:val="0"/>
          <w:dstrike w:val="0"/>
          <w:color w:val="auto"/>
          <w:sz w:val="24"/>
          <w:szCs w:val="24"/>
          <w:highlight w:val="none"/>
          <w:lang w:val="en-US" w:eastAsia="zh-CN"/>
        </w:rPr>
        <w:t>在开展检查工作前，应向</w:t>
      </w:r>
      <w:r>
        <w:rPr>
          <w:rFonts w:hint="eastAsia" w:ascii="宋体" w:hAnsi="宋体" w:eastAsia="宋体" w:cs="宋体"/>
          <w:b w:val="0"/>
          <w:bCs w:val="0"/>
          <w:color w:val="auto"/>
          <w:sz w:val="24"/>
          <w:szCs w:val="24"/>
          <w:highlight w:val="none"/>
          <w:lang w:val="en-US" w:eastAsia="zh-CN"/>
        </w:rPr>
        <w:t>机械安全分会进行书面信息登记</w:t>
      </w:r>
      <w:r>
        <w:rPr>
          <w:rFonts w:hint="eastAsia" w:ascii="宋体" w:hAnsi="宋体" w:eastAsia="宋体" w:cs="宋体"/>
          <w:b w:val="0"/>
          <w:bCs w:val="0"/>
          <w:strike w:val="0"/>
          <w:dstrike w:val="0"/>
          <w:color w:val="auto"/>
          <w:sz w:val="24"/>
          <w:szCs w:val="24"/>
          <w:highlight w:val="none"/>
          <w:lang w:val="en-US" w:eastAsia="zh-CN"/>
        </w:rPr>
        <w:t>。</w:t>
      </w:r>
    </w:p>
    <w:p w14:paraId="4B801EA0">
      <w:pPr>
        <w:numPr>
          <w:ilvl w:val="0"/>
          <w:numId w:val="0"/>
        </w:numPr>
        <w:jc w:val="left"/>
        <w:rPr>
          <w:rFonts w:hint="eastAsia" w:ascii="宋体" w:hAnsi="宋体" w:eastAsia="宋体" w:cs="宋体"/>
          <w:sz w:val="24"/>
          <w:szCs w:val="24"/>
        </w:rPr>
      </w:pPr>
      <w:r>
        <w:rPr>
          <w:rFonts w:hint="eastAsia" w:ascii="宋体" w:hAnsi="宋体" w:eastAsia="宋体" w:cs="宋体"/>
          <w:b/>
          <w:bCs/>
          <w:sz w:val="24"/>
          <w:szCs w:val="24"/>
          <w:lang w:val="en-US" w:eastAsia="zh-CN"/>
        </w:rPr>
        <w:t>3.0.2</w:t>
      </w:r>
      <w:r>
        <w:rPr>
          <w:rFonts w:hint="eastAsia" w:ascii="宋体" w:hAnsi="宋体" w:eastAsia="宋体" w:cs="宋体"/>
          <w:sz w:val="24"/>
          <w:szCs w:val="24"/>
          <w:lang w:val="en-US" w:eastAsia="zh-CN"/>
        </w:rPr>
        <w:t xml:space="preserve">  </w:t>
      </w:r>
      <w:r>
        <w:rPr>
          <w:rFonts w:hint="eastAsia" w:ascii="宋体" w:hAnsi="宋体" w:eastAsia="宋体" w:cs="宋体"/>
          <w:strike w:val="0"/>
          <w:dstrike w:val="0"/>
          <w:color w:val="auto"/>
          <w:sz w:val="24"/>
          <w:szCs w:val="24"/>
          <w:lang w:val="en-US" w:eastAsia="zh-CN"/>
        </w:rPr>
        <w:t>第三方</w:t>
      </w:r>
      <w:r>
        <w:rPr>
          <w:rFonts w:hint="eastAsia" w:ascii="宋体" w:hAnsi="宋体" w:eastAsia="宋体" w:cs="宋体"/>
          <w:color w:val="auto"/>
          <w:sz w:val="24"/>
          <w:szCs w:val="24"/>
          <w:lang w:val="en-US" w:eastAsia="zh-CN"/>
        </w:rPr>
        <w:t>应设置检查工作联络人，确保检查工作</w:t>
      </w:r>
      <w:r>
        <w:rPr>
          <w:rFonts w:hint="eastAsia" w:ascii="宋体" w:hAnsi="宋体" w:eastAsia="宋体" w:cs="宋体"/>
          <w:sz w:val="24"/>
          <w:szCs w:val="24"/>
          <w:lang w:val="en-US" w:eastAsia="zh-CN"/>
        </w:rPr>
        <w:t>的有效沟通和顺利实施。每个检查合同（项目）的检查组应由2名及以上检查人员组成</w:t>
      </w:r>
      <w:r>
        <w:rPr>
          <w:rFonts w:hint="eastAsia" w:ascii="宋体" w:hAnsi="宋体" w:eastAsia="宋体" w:cs="宋体"/>
          <w:sz w:val="24"/>
          <w:szCs w:val="24"/>
        </w:rPr>
        <w:t>。</w:t>
      </w:r>
    </w:p>
    <w:p w14:paraId="5A81F38D">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b/>
          <w:bCs/>
          <w:color w:val="auto"/>
          <w:kern w:val="2"/>
          <w:sz w:val="24"/>
          <w:szCs w:val="24"/>
          <w:lang w:val="en-US" w:eastAsia="zh-CN" w:bidi="ar-SA"/>
        </w:rPr>
        <w:t xml:space="preserve">3.0.3 </w:t>
      </w:r>
      <w:r>
        <w:rPr>
          <w:rFonts w:hint="eastAsia" w:ascii="宋体" w:hAnsi="宋体" w:eastAsia="宋体" w:cs="宋体"/>
          <w:color w:val="auto"/>
          <w:kern w:val="2"/>
          <w:sz w:val="24"/>
          <w:szCs w:val="24"/>
          <w:lang w:val="en-US" w:eastAsia="zh-CN" w:bidi="ar-SA"/>
        </w:rPr>
        <w:t xml:space="preserve"> </w:t>
      </w:r>
      <w:r>
        <w:rPr>
          <w:rFonts w:hint="eastAsia" w:ascii="宋体" w:hAnsi="宋体" w:eastAsia="宋体" w:cs="宋体"/>
          <w:color w:val="auto"/>
          <w:sz w:val="24"/>
          <w:szCs w:val="24"/>
          <w:lang w:val="en-US" w:eastAsia="zh-CN"/>
        </w:rPr>
        <w:t>检查人员实施现场检查工作应提前一天通知受检单位。</w:t>
      </w:r>
    </w:p>
    <w:p w14:paraId="45B06121">
      <w:pPr>
        <w:rPr>
          <w:rFonts w:hint="eastAsia" w:ascii="宋体" w:hAnsi="宋体" w:eastAsia="宋体" w:cs="宋体"/>
          <w:sz w:val="28"/>
          <w:szCs w:val="28"/>
          <w:lang w:val="en-US" w:eastAsia="zh-CN"/>
        </w:rPr>
      </w:pPr>
      <w:r>
        <w:rPr>
          <w:rFonts w:hint="eastAsia" w:ascii="宋体" w:hAnsi="宋体" w:eastAsia="宋体" w:cs="宋体"/>
          <w:b/>
          <w:bCs/>
          <w:sz w:val="24"/>
          <w:szCs w:val="24"/>
          <w:lang w:val="en-US" w:eastAsia="zh-CN"/>
        </w:rPr>
        <w:t xml:space="preserve">3.0.4  </w:t>
      </w:r>
      <w:r>
        <w:rPr>
          <w:rFonts w:hint="eastAsia" w:ascii="宋体" w:hAnsi="宋体" w:eastAsia="宋体" w:cs="宋体"/>
          <w:sz w:val="24"/>
          <w:szCs w:val="24"/>
          <w:lang w:val="en-US" w:eastAsia="zh-CN"/>
        </w:rPr>
        <w:t>现场检查时，受检单位应提供被检查设备技术资料，安排相关人员协调配合，现场检查时应做好检查区域的安全警戒措施。</w:t>
      </w:r>
    </w:p>
    <w:p w14:paraId="06C36AD6">
      <w:pPr>
        <w:rPr>
          <w:rFonts w:hint="eastAsia" w:ascii="宋体" w:hAnsi="宋体" w:eastAsia="宋体" w:cs="宋体"/>
          <w:color w:val="auto"/>
          <w:sz w:val="24"/>
          <w:szCs w:val="24"/>
          <w:lang w:val="en-US" w:eastAsia="zh-CN"/>
        </w:rPr>
      </w:pPr>
      <w:r>
        <w:rPr>
          <w:rFonts w:hint="eastAsia" w:ascii="宋体" w:hAnsi="宋体" w:eastAsia="宋体" w:cs="宋体"/>
          <w:b/>
          <w:bCs/>
          <w:sz w:val="24"/>
          <w:szCs w:val="24"/>
          <w:lang w:val="en-US" w:eastAsia="zh-CN"/>
        </w:rPr>
        <w:t>3.0.5</w:t>
      </w: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lang w:val="en-US" w:eastAsia="zh-CN"/>
        </w:rPr>
        <w:t>实施检查前，检查人员应确认受检单位的准备情况和设备状态。存在下列情况时可终止检查。终止检查应经第三方单位同意，并及时向</w:t>
      </w:r>
      <w:r>
        <w:rPr>
          <w:rFonts w:hint="eastAsia" w:ascii="宋体" w:hAnsi="宋体" w:eastAsia="宋体" w:cs="宋体"/>
          <w:b w:val="0"/>
          <w:bCs w:val="0"/>
          <w:color w:val="auto"/>
          <w:kern w:val="0"/>
          <w:sz w:val="24"/>
          <w:szCs w:val="24"/>
          <w:lang w:val="en-US" w:eastAsia="zh-CN" w:bidi="ar"/>
        </w:rPr>
        <w:t>聘请或</w:t>
      </w:r>
      <w:r>
        <w:rPr>
          <w:rFonts w:hint="eastAsia" w:ascii="宋体" w:hAnsi="宋体" w:eastAsia="宋体" w:cs="宋体"/>
          <w:color w:val="auto"/>
          <w:sz w:val="24"/>
          <w:szCs w:val="24"/>
          <w:lang w:val="en-US" w:eastAsia="zh-CN"/>
        </w:rPr>
        <w:t>委托单位报备。</w:t>
      </w:r>
    </w:p>
    <w:p w14:paraId="5E378448">
      <w:pPr>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w:t>
      </w:r>
      <w:r>
        <w:rPr>
          <w:rFonts w:hint="eastAsia" w:ascii="宋体" w:hAnsi="宋体" w:eastAsia="宋体" w:cs="宋体"/>
          <w:color w:val="auto"/>
          <w:sz w:val="24"/>
          <w:szCs w:val="24"/>
          <w:lang w:val="en-US" w:eastAsia="zh-CN"/>
        </w:rPr>
        <w:t>受检单位检查前准备工作不足，实施检查后难以得出完整、正确结论的；</w:t>
      </w:r>
    </w:p>
    <w:p w14:paraId="45E77217">
      <w:pPr>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w:t>
      </w:r>
      <w:r>
        <w:rPr>
          <w:rFonts w:hint="eastAsia" w:ascii="宋体" w:hAnsi="宋体" w:eastAsia="宋体" w:cs="宋体"/>
          <w:sz w:val="24"/>
          <w:szCs w:val="24"/>
          <w:lang w:val="en-US" w:eastAsia="zh-CN"/>
        </w:rPr>
        <w:t>.技术资料准备不全、设备不能正常运行，配合人员不到位等导致需要检查人员在现场等待时间超过30分钟及以上的；</w:t>
      </w:r>
    </w:p>
    <w:p w14:paraId="7D7ADB12">
      <w:pPr>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.现场不具备检查安全条件，实施检查可能危及检查人员或者他人安全和健康的；</w:t>
      </w:r>
    </w:p>
    <w:p w14:paraId="328F4B3E">
      <w:pPr>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4</w:t>
      </w:r>
      <w:r>
        <w:rPr>
          <w:rFonts w:hint="eastAsia" w:ascii="宋体" w:hAnsi="宋体" w:eastAsia="宋体" w:cs="宋体"/>
          <w:sz w:val="24"/>
          <w:szCs w:val="24"/>
          <w:lang w:val="en-US" w:eastAsia="zh-CN"/>
        </w:rPr>
        <w:t>.不能实施正常检查工作其它事项。</w:t>
      </w:r>
    </w:p>
    <w:p w14:paraId="10D27C39">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 xml:space="preserve">3.0.6 </w:t>
      </w:r>
      <w:r>
        <w:rPr>
          <w:rFonts w:hint="eastAsia" w:ascii="宋体" w:hAnsi="宋体" w:eastAsia="宋体" w:cs="宋体"/>
          <w:sz w:val="24"/>
          <w:szCs w:val="24"/>
          <w:lang w:val="en-US" w:eastAsia="zh-CN"/>
        </w:rPr>
        <w:t xml:space="preserve"> 受检单位有权核验检查人员身份及上岗资格。</w:t>
      </w:r>
    </w:p>
    <w:p w14:paraId="0CB3BA14">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 xml:space="preserve">3.0.7  </w:t>
      </w:r>
      <w:r>
        <w:rPr>
          <w:rFonts w:hint="eastAsia" w:ascii="宋体" w:hAnsi="宋体" w:eastAsia="宋体" w:cs="宋体"/>
          <w:color w:val="auto"/>
          <w:sz w:val="24"/>
          <w:szCs w:val="24"/>
          <w:lang w:val="en-US" w:eastAsia="zh-CN"/>
        </w:rPr>
        <w:t>检查时应作好检查记录，检查记录应用语规范、隐患部位描述清晰准确并配有隐患检查照片。</w:t>
      </w:r>
      <w:r>
        <w:rPr>
          <w:rFonts w:hint="eastAsia" w:ascii="宋体" w:hAnsi="宋体" w:eastAsia="宋体" w:cs="宋体"/>
          <w:strike w:val="0"/>
          <w:dstrike w:val="0"/>
          <w:color w:val="auto"/>
          <w:sz w:val="24"/>
          <w:szCs w:val="24"/>
          <w:lang w:val="en-US" w:eastAsia="zh-CN"/>
        </w:rPr>
        <w:t>第三方</w:t>
      </w:r>
      <w:r>
        <w:rPr>
          <w:rFonts w:hint="eastAsia" w:ascii="宋体" w:hAnsi="宋体" w:eastAsia="宋体" w:cs="宋体"/>
          <w:color w:val="auto"/>
          <w:sz w:val="24"/>
          <w:szCs w:val="24"/>
          <w:lang w:val="en-US" w:eastAsia="zh-CN"/>
        </w:rPr>
        <w:t>应</w:t>
      </w:r>
      <w:r>
        <w:rPr>
          <w:rFonts w:hint="eastAsia" w:ascii="宋体" w:hAnsi="宋体" w:eastAsia="宋体" w:cs="宋体"/>
          <w:strike w:val="0"/>
          <w:dstrike w:val="0"/>
          <w:color w:val="auto"/>
          <w:sz w:val="24"/>
          <w:szCs w:val="24"/>
          <w:lang w:val="en-US" w:eastAsia="zh-CN"/>
        </w:rPr>
        <w:t>按聘请或委托单位要求</w:t>
      </w:r>
      <w:r>
        <w:rPr>
          <w:rFonts w:hint="eastAsia" w:ascii="宋体" w:hAnsi="宋体" w:eastAsia="宋体" w:cs="宋体"/>
          <w:color w:val="auto"/>
          <w:sz w:val="24"/>
          <w:szCs w:val="24"/>
          <w:lang w:val="en-US" w:eastAsia="zh-CN"/>
        </w:rPr>
        <w:t>出具</w:t>
      </w:r>
      <w:r>
        <w:rPr>
          <w:rFonts w:hint="eastAsia" w:ascii="宋体" w:hAnsi="宋体" w:eastAsia="宋体" w:cs="宋体"/>
          <w:strike w:val="0"/>
          <w:dstrike w:val="0"/>
          <w:color w:val="auto"/>
          <w:sz w:val="24"/>
          <w:szCs w:val="24"/>
          <w:lang w:val="en-US" w:eastAsia="zh-CN"/>
        </w:rPr>
        <w:t>检查结果</w:t>
      </w:r>
      <w:r>
        <w:rPr>
          <w:rFonts w:hint="eastAsia" w:ascii="宋体" w:hAnsi="宋体" w:eastAsia="宋体" w:cs="宋体"/>
          <w:color w:val="auto"/>
          <w:sz w:val="24"/>
          <w:szCs w:val="24"/>
          <w:lang w:val="en-US" w:eastAsia="zh-CN"/>
        </w:rPr>
        <w:t>。</w:t>
      </w:r>
    </w:p>
    <w:p w14:paraId="79D0567B">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 xml:space="preserve">3.0.8  </w:t>
      </w:r>
      <w:r>
        <w:rPr>
          <w:rFonts w:hint="eastAsia" w:ascii="宋体" w:hAnsi="宋体" w:eastAsia="宋体" w:cs="宋体"/>
          <w:sz w:val="24"/>
          <w:szCs w:val="24"/>
          <w:lang w:val="en-US" w:eastAsia="zh-CN"/>
        </w:rPr>
        <w:t>检查人员应不断提高自身业务素质，坚持原则，忠于职守，公正廉洁、优质高效。</w:t>
      </w:r>
    </w:p>
    <w:p w14:paraId="3C5E2827">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 xml:space="preserve">3.0.9  </w:t>
      </w:r>
      <w:r>
        <w:rPr>
          <w:rFonts w:hint="eastAsia" w:ascii="宋体" w:hAnsi="宋体" w:eastAsia="宋体" w:cs="宋体"/>
          <w:color w:val="auto"/>
          <w:sz w:val="24"/>
          <w:szCs w:val="24"/>
          <w:lang w:val="en-US" w:eastAsia="zh-CN"/>
        </w:rPr>
        <w:t>检查人员不得从事有关建筑起重机械、附着式升降脚手架和高处作业吊篮的生产、经营、租赁等活动，不得推荐或者监制、监销建筑起重机械、附着式升降脚手架和高处作业吊篮。</w:t>
      </w:r>
    </w:p>
    <w:p w14:paraId="109C4510">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 xml:space="preserve">3.0.10  </w:t>
      </w:r>
      <w:r>
        <w:rPr>
          <w:rFonts w:hint="eastAsia" w:ascii="宋体" w:hAnsi="宋体" w:eastAsia="宋体" w:cs="宋体"/>
          <w:sz w:val="24"/>
          <w:szCs w:val="24"/>
          <w:lang w:val="en-US" w:eastAsia="zh-CN"/>
        </w:rPr>
        <w:t>检查人员对检查过程中获悉的商业秘密，负有保密义务。</w:t>
      </w:r>
    </w:p>
    <w:p w14:paraId="27BD5CBE">
      <w:pPr>
        <w:numPr>
          <w:ilvl w:val="0"/>
          <w:numId w:val="0"/>
        </w:numPr>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 xml:space="preserve">3.0.11  </w:t>
      </w:r>
      <w:r>
        <w:rPr>
          <w:rFonts w:hint="eastAsia" w:ascii="宋体" w:hAnsi="宋体" w:eastAsia="宋体" w:cs="宋体"/>
          <w:sz w:val="24"/>
          <w:szCs w:val="24"/>
          <w:lang w:val="en-US" w:eastAsia="zh-CN"/>
        </w:rPr>
        <w:t>检查人员的检查工作应接受建设主管部门的监督检查。</w:t>
      </w:r>
    </w:p>
    <w:p w14:paraId="0CF0787C">
      <w:pPr>
        <w:numPr>
          <w:ilvl w:val="0"/>
          <w:numId w:val="0"/>
        </w:numPr>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 xml:space="preserve">3.0.12  </w:t>
      </w:r>
      <w:r>
        <w:rPr>
          <w:rFonts w:hint="eastAsia" w:ascii="宋体" w:hAnsi="宋体" w:eastAsia="宋体" w:cs="宋体"/>
          <w:sz w:val="24"/>
          <w:szCs w:val="24"/>
          <w:lang w:val="en-US" w:eastAsia="zh-CN"/>
        </w:rPr>
        <w:t>检查人员进入检查现场应遵守以下安全规定：</w:t>
      </w:r>
    </w:p>
    <w:p w14:paraId="00F3BCC8">
      <w:pPr>
        <w:numPr>
          <w:ilvl w:val="0"/>
          <w:numId w:val="0"/>
        </w:numPr>
        <w:ind w:firstLine="482" w:firstLineChars="20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w:t>
      </w:r>
      <w:r>
        <w:rPr>
          <w:rFonts w:hint="eastAsia" w:ascii="宋体" w:hAnsi="宋体" w:eastAsia="宋体" w:cs="宋体"/>
          <w:sz w:val="24"/>
          <w:szCs w:val="24"/>
          <w:lang w:val="en-US" w:eastAsia="zh-CN"/>
        </w:rPr>
        <w:t>.应穿戴好与现场环境相适应的劳保防护用品；</w:t>
      </w:r>
    </w:p>
    <w:p w14:paraId="6D073815">
      <w:pPr>
        <w:numPr>
          <w:ilvl w:val="0"/>
          <w:numId w:val="0"/>
        </w:numPr>
        <w:ind w:firstLine="482" w:firstLineChars="20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w:t>
      </w:r>
      <w:r>
        <w:rPr>
          <w:rFonts w:hint="eastAsia" w:ascii="宋体" w:hAnsi="宋体" w:eastAsia="宋体" w:cs="宋体"/>
          <w:sz w:val="24"/>
          <w:szCs w:val="24"/>
          <w:lang w:val="en-US" w:eastAsia="zh-CN"/>
        </w:rPr>
        <w:t>检查人员应了解并遵守被检查现场的安全生产规定；</w:t>
      </w:r>
    </w:p>
    <w:p w14:paraId="4D1AEB59">
      <w:pPr>
        <w:numPr>
          <w:ilvl w:val="0"/>
          <w:numId w:val="0"/>
        </w:numPr>
        <w:ind w:firstLine="482" w:firstLineChars="20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进行电气绝缘、接地电阻等电气测试检查时，应拉闸并挂警示牌；</w:t>
      </w:r>
    </w:p>
    <w:p w14:paraId="5C4B4CA8">
      <w:pPr>
        <w:numPr>
          <w:ilvl w:val="0"/>
          <w:numId w:val="0"/>
        </w:numPr>
        <w:ind w:firstLine="482" w:firstLineChars="200"/>
        <w:jc w:val="left"/>
        <w:rPr>
          <w:rFonts w:hint="eastAsia" w:ascii="黑体" w:hAnsi="黑体" w:eastAsia="黑体" w:cs="黑体"/>
          <w:b w:val="0"/>
          <w:bCs w:val="0"/>
          <w:color w:val="auto"/>
          <w:kern w:val="2"/>
          <w:sz w:val="28"/>
          <w:szCs w:val="28"/>
          <w:lang w:val="en-US" w:eastAsia="zh-CN" w:bidi="ar-SA"/>
        </w:rPr>
      </w:pPr>
      <w:r>
        <w:rPr>
          <w:rFonts w:hint="eastAsia" w:ascii="宋体" w:hAnsi="宋体" w:eastAsia="宋体" w:cs="宋体"/>
          <w:b/>
          <w:bCs/>
          <w:sz w:val="24"/>
          <w:szCs w:val="24"/>
          <w:lang w:val="en-US" w:eastAsia="zh-CN"/>
        </w:rPr>
        <w:t>4.</w:t>
      </w:r>
      <w:r>
        <w:rPr>
          <w:rFonts w:hint="eastAsia" w:ascii="宋体" w:hAnsi="宋体" w:eastAsia="宋体" w:cs="宋体"/>
          <w:sz w:val="24"/>
          <w:szCs w:val="24"/>
          <w:lang w:val="en-US" w:eastAsia="zh-CN"/>
        </w:rPr>
        <w:t>检查人员不得自行操作建筑机械。</w:t>
      </w:r>
    </w:p>
    <w:p w14:paraId="2F33F2D6">
      <w:pPr>
        <w:numPr>
          <w:ilvl w:val="0"/>
          <w:numId w:val="0"/>
        </w:numPr>
        <w:ind w:left="0" w:leftChars="0" w:firstLine="0" w:firstLineChars="0"/>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kern w:val="2"/>
          <w:sz w:val="28"/>
          <w:szCs w:val="28"/>
          <w:lang w:val="en-US" w:eastAsia="zh-CN" w:bidi="ar-SA"/>
        </w:rPr>
        <w:t>4  资质能力</w:t>
      </w:r>
      <w:r>
        <w:rPr>
          <w:rFonts w:hint="eastAsia" w:ascii="宋体" w:hAnsi="宋体" w:eastAsia="宋体" w:cs="宋体"/>
          <w:b/>
          <w:bCs/>
          <w:color w:val="auto"/>
          <w:sz w:val="28"/>
          <w:szCs w:val="28"/>
          <w:lang w:val="en-US" w:eastAsia="zh-CN"/>
        </w:rPr>
        <w:t>要求</w:t>
      </w:r>
    </w:p>
    <w:p w14:paraId="507BBCD4">
      <w:pPr>
        <w:numPr>
          <w:ilvl w:val="0"/>
          <w:numId w:val="0"/>
        </w:numPr>
        <w:ind w:leftChars="0"/>
        <w:jc w:val="lef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 xml:space="preserve">4.1 </w:t>
      </w:r>
      <w:r>
        <w:rPr>
          <w:rFonts w:hint="eastAsia" w:ascii="宋体" w:hAnsi="宋体" w:eastAsia="宋体" w:cs="宋体"/>
          <w:b/>
          <w:bCs/>
          <w:strike w:val="0"/>
          <w:dstrike w:val="0"/>
          <w:color w:val="auto"/>
          <w:sz w:val="28"/>
          <w:szCs w:val="28"/>
          <w:lang w:val="en-US" w:eastAsia="zh-CN"/>
        </w:rPr>
        <w:t>第三方</w:t>
      </w:r>
      <w:r>
        <w:rPr>
          <w:rFonts w:hint="eastAsia" w:ascii="宋体" w:hAnsi="宋体" w:eastAsia="宋体" w:cs="宋体"/>
          <w:b/>
          <w:bCs/>
          <w:color w:val="auto"/>
          <w:sz w:val="28"/>
          <w:szCs w:val="28"/>
          <w:lang w:val="en-US" w:eastAsia="zh-CN"/>
        </w:rPr>
        <w:t>资质要求</w:t>
      </w:r>
    </w:p>
    <w:p w14:paraId="7902A876">
      <w:pPr>
        <w:numPr>
          <w:ilvl w:val="0"/>
          <w:numId w:val="0"/>
        </w:numPr>
        <w:rPr>
          <w:rFonts w:hint="eastAsia" w:ascii="宋体" w:hAnsi="宋体" w:eastAsia="宋体" w:cs="宋体"/>
          <w:sz w:val="24"/>
          <w:szCs w:val="24"/>
          <w:lang w:val="en-US" w:eastAsia="zh-CN"/>
        </w:rPr>
      </w:pPr>
      <w:r>
        <w:rPr>
          <w:rFonts w:hint="eastAsia" w:ascii="宋体" w:hAnsi="宋体" w:eastAsia="宋体" w:cs="宋体"/>
          <w:b/>
          <w:bCs/>
          <w:i w:val="0"/>
          <w:caps w:val="0"/>
          <w:spacing w:val="0"/>
          <w:sz w:val="24"/>
          <w:szCs w:val="24"/>
          <w:shd w:val="clear" w:fill="FFFFFF"/>
          <w:vertAlign w:val="baseline"/>
          <w:lang w:val="en-US" w:eastAsia="zh-CN"/>
        </w:rPr>
        <w:t xml:space="preserve">4.1.1  </w:t>
      </w:r>
      <w:r>
        <w:rPr>
          <w:rFonts w:hint="eastAsia" w:ascii="宋体" w:hAnsi="宋体" w:eastAsia="宋体" w:cs="宋体"/>
          <w:b w:val="0"/>
          <w:bCs w:val="0"/>
          <w:strike w:val="0"/>
          <w:dstrike w:val="0"/>
          <w:color w:val="auto"/>
          <w:sz w:val="24"/>
          <w:szCs w:val="24"/>
          <w:lang w:val="en-US" w:eastAsia="zh-CN"/>
        </w:rPr>
        <w:t>第三方</w:t>
      </w:r>
      <w:r>
        <w:rPr>
          <w:rFonts w:hint="eastAsia" w:ascii="宋体" w:hAnsi="宋体" w:eastAsia="宋体" w:cs="宋体"/>
          <w:color w:val="auto"/>
          <w:sz w:val="24"/>
          <w:szCs w:val="24"/>
          <w:lang w:val="en-US" w:eastAsia="zh-CN"/>
        </w:rPr>
        <w:t>应取得相应等级特种设备检验检测机构核准证书。</w:t>
      </w:r>
      <w:r>
        <w:rPr>
          <w:rFonts w:hint="eastAsia" w:ascii="宋体" w:hAnsi="宋体" w:eastAsia="宋体" w:cs="宋体"/>
          <w:b w:val="0"/>
          <w:bCs w:val="0"/>
          <w:strike w:val="0"/>
          <w:dstrike w:val="0"/>
          <w:color w:val="auto"/>
          <w:sz w:val="24"/>
          <w:szCs w:val="24"/>
          <w:lang w:val="en-US" w:eastAsia="zh-CN"/>
        </w:rPr>
        <w:t>第三方</w:t>
      </w:r>
      <w:r>
        <w:rPr>
          <w:rFonts w:hint="eastAsia" w:ascii="宋体" w:hAnsi="宋体" w:eastAsia="宋体" w:cs="宋体"/>
          <w:color w:val="auto"/>
          <w:sz w:val="24"/>
          <w:szCs w:val="24"/>
          <w:lang w:val="en-US" w:eastAsia="zh-CN"/>
        </w:rPr>
        <w:t>实施特种设备检查时的资质要求见表1。</w:t>
      </w:r>
    </w:p>
    <w:p w14:paraId="49A1FCE2">
      <w:pPr>
        <w:numPr>
          <w:ilvl w:val="0"/>
          <w:numId w:val="0"/>
        </w:num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表1 第三方</w:t>
      </w:r>
      <w:r>
        <w:rPr>
          <w:rFonts w:hint="eastAsia" w:ascii="宋体" w:hAnsi="宋体" w:eastAsia="宋体" w:cs="宋体"/>
          <w:i w:val="0"/>
          <w:caps w:val="0"/>
          <w:spacing w:val="0"/>
          <w:sz w:val="24"/>
          <w:szCs w:val="24"/>
          <w:shd w:val="clear" w:fill="FFFFFF"/>
          <w:vertAlign w:val="baseline"/>
          <w:lang w:val="en-US" w:eastAsia="zh-CN"/>
        </w:rPr>
        <w:t>资质要求</w:t>
      </w:r>
    </w:p>
    <w:tbl>
      <w:tblPr>
        <w:tblStyle w:val="17"/>
        <w:tblpPr w:leftFromText="180" w:rightFromText="180" w:vertAnchor="text" w:horzAnchor="page" w:tblpX="1915" w:tblpY="5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690"/>
        <w:gridCol w:w="1720"/>
        <w:gridCol w:w="4520"/>
      </w:tblGrid>
      <w:tr w14:paraId="0CA5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592" w:type="dxa"/>
            <w:shd w:val="clear" w:color="auto" w:fill="auto"/>
            <w:vAlign w:val="center"/>
          </w:tcPr>
          <w:p w14:paraId="702BE62B">
            <w:pPr>
              <w:numPr>
                <w:ilvl w:val="0"/>
                <w:numId w:val="0"/>
              </w:num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690" w:type="dxa"/>
            <w:shd w:val="clear" w:color="auto" w:fill="auto"/>
            <w:vAlign w:val="center"/>
          </w:tcPr>
          <w:p w14:paraId="6FEC83DD">
            <w:pPr>
              <w:numPr>
                <w:ilvl w:val="0"/>
                <w:numId w:val="0"/>
              </w:num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机构类别</w:t>
            </w:r>
          </w:p>
        </w:tc>
        <w:tc>
          <w:tcPr>
            <w:tcW w:w="1720" w:type="dxa"/>
            <w:shd w:val="clear" w:color="auto" w:fill="auto"/>
            <w:vAlign w:val="center"/>
          </w:tcPr>
          <w:p w14:paraId="5207104B">
            <w:pPr>
              <w:numPr>
                <w:ilvl w:val="0"/>
                <w:numId w:val="0"/>
              </w:num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核准项目代码</w:t>
            </w:r>
          </w:p>
        </w:tc>
        <w:tc>
          <w:tcPr>
            <w:tcW w:w="4520" w:type="dxa"/>
            <w:shd w:val="clear" w:color="auto" w:fill="auto"/>
            <w:vAlign w:val="center"/>
          </w:tcPr>
          <w:p w14:paraId="407F8AE5">
            <w:pPr>
              <w:numPr>
                <w:ilvl w:val="0"/>
                <w:numId w:val="0"/>
              </w:numPr>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可检查项目</w:t>
            </w:r>
          </w:p>
        </w:tc>
      </w:tr>
      <w:tr w14:paraId="3C3C5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92" w:type="dxa"/>
            <w:vMerge w:val="restart"/>
            <w:shd w:val="clear" w:color="auto" w:fill="auto"/>
            <w:vAlign w:val="center"/>
          </w:tcPr>
          <w:p w14:paraId="7ADC9A61">
            <w:pPr>
              <w:numPr>
                <w:ilvl w:val="0"/>
                <w:numId w:val="0"/>
              </w:num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p w14:paraId="262B09E8">
            <w:pPr>
              <w:numPr>
                <w:ilvl w:val="0"/>
                <w:numId w:val="0"/>
              </w:numPr>
              <w:spacing w:line="240" w:lineRule="auto"/>
              <w:jc w:val="center"/>
              <w:rPr>
                <w:rFonts w:hint="eastAsia" w:ascii="宋体" w:hAnsi="宋体" w:eastAsia="宋体" w:cs="宋体"/>
                <w:sz w:val="24"/>
                <w:szCs w:val="24"/>
                <w:lang w:val="en-US" w:eastAsia="zh-CN"/>
              </w:rPr>
            </w:pPr>
          </w:p>
        </w:tc>
        <w:tc>
          <w:tcPr>
            <w:tcW w:w="1690" w:type="dxa"/>
            <w:vMerge w:val="restart"/>
            <w:shd w:val="clear" w:color="auto" w:fill="auto"/>
            <w:vAlign w:val="center"/>
          </w:tcPr>
          <w:p w14:paraId="70EFBA0B">
            <w:pPr>
              <w:numPr>
                <w:ilvl w:val="0"/>
                <w:numId w:val="0"/>
              </w:num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甲类检验机构A1级/A2级</w:t>
            </w:r>
          </w:p>
        </w:tc>
        <w:tc>
          <w:tcPr>
            <w:tcW w:w="1720" w:type="dxa"/>
            <w:shd w:val="clear" w:color="auto" w:fill="auto"/>
            <w:vAlign w:val="center"/>
          </w:tcPr>
          <w:p w14:paraId="2405F44A">
            <w:pPr>
              <w:numPr>
                <w:ilvl w:val="0"/>
                <w:numId w:val="0"/>
              </w:num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QD1</w:t>
            </w:r>
          </w:p>
        </w:tc>
        <w:tc>
          <w:tcPr>
            <w:tcW w:w="4520" w:type="dxa"/>
            <w:shd w:val="clear" w:color="auto" w:fill="auto"/>
            <w:vAlign w:val="center"/>
          </w:tcPr>
          <w:p w14:paraId="6FB9BDD1">
            <w:pPr>
              <w:numPr>
                <w:ilvl w:val="0"/>
                <w:numId w:val="0"/>
              </w:num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各类</w:t>
            </w:r>
            <w:r>
              <w:rPr>
                <w:rFonts w:hint="default" w:ascii="宋体" w:hAnsi="宋体" w:eastAsia="宋体" w:cs="宋体"/>
                <w:sz w:val="24"/>
                <w:szCs w:val="24"/>
                <w:lang w:val="en-US" w:eastAsia="zh-CN"/>
              </w:rPr>
              <w:t>起重机械</w:t>
            </w:r>
          </w:p>
        </w:tc>
      </w:tr>
      <w:tr w14:paraId="4F1E8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592" w:type="dxa"/>
            <w:vMerge w:val="continue"/>
            <w:shd w:val="clear" w:color="auto" w:fill="auto"/>
            <w:vAlign w:val="center"/>
          </w:tcPr>
          <w:p w14:paraId="3AF802D3">
            <w:pPr>
              <w:numPr>
                <w:ilvl w:val="0"/>
                <w:numId w:val="0"/>
              </w:numPr>
              <w:jc w:val="center"/>
              <w:rPr>
                <w:rFonts w:hint="eastAsia" w:ascii="宋体" w:hAnsi="宋体" w:eastAsia="宋体" w:cs="宋体"/>
                <w:sz w:val="24"/>
                <w:szCs w:val="24"/>
                <w:lang w:val="en-US" w:eastAsia="zh-CN"/>
              </w:rPr>
            </w:pPr>
          </w:p>
        </w:tc>
        <w:tc>
          <w:tcPr>
            <w:tcW w:w="1690" w:type="dxa"/>
            <w:vMerge w:val="continue"/>
            <w:shd w:val="clear" w:color="auto" w:fill="auto"/>
            <w:vAlign w:val="center"/>
          </w:tcPr>
          <w:p w14:paraId="23254B8F">
            <w:pPr>
              <w:numPr>
                <w:ilvl w:val="0"/>
                <w:numId w:val="0"/>
              </w:numPr>
              <w:rPr>
                <w:rFonts w:hint="eastAsia" w:ascii="宋体" w:hAnsi="宋体" w:eastAsia="宋体" w:cs="宋体"/>
                <w:sz w:val="24"/>
                <w:szCs w:val="24"/>
                <w:lang w:val="en-US" w:eastAsia="zh-CN"/>
              </w:rPr>
            </w:pPr>
          </w:p>
        </w:tc>
        <w:tc>
          <w:tcPr>
            <w:tcW w:w="1720" w:type="dxa"/>
            <w:shd w:val="clear" w:color="auto" w:fill="auto"/>
            <w:vAlign w:val="center"/>
          </w:tcPr>
          <w:p w14:paraId="75543AD1">
            <w:pPr>
              <w:numPr>
                <w:ilvl w:val="0"/>
                <w:numId w:val="0"/>
              </w:num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QD2</w:t>
            </w:r>
          </w:p>
        </w:tc>
        <w:tc>
          <w:tcPr>
            <w:tcW w:w="4520" w:type="dxa"/>
            <w:shd w:val="clear" w:color="auto" w:fill="auto"/>
            <w:vAlign w:val="center"/>
          </w:tcPr>
          <w:p w14:paraId="3CF04BCB">
            <w:pPr>
              <w:numPr>
                <w:ilvl w:val="0"/>
                <w:numId w:val="0"/>
              </w:numPr>
              <w:spacing w:line="240" w:lineRule="auto"/>
              <w:jc w:val="both"/>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塔式起重机、流动式起重机、门座式起重机、升降机、缆索式起重机、桅杆式起重机、额定起重量小于10t(不含10t)的桥式起重机和门式起重机</w:t>
            </w:r>
          </w:p>
        </w:tc>
      </w:tr>
      <w:tr w14:paraId="2668F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2" w:type="dxa"/>
            <w:vMerge w:val="continue"/>
            <w:shd w:val="clear" w:color="auto" w:fill="auto"/>
            <w:vAlign w:val="center"/>
          </w:tcPr>
          <w:p w14:paraId="4D9E9490">
            <w:pPr>
              <w:numPr>
                <w:ilvl w:val="0"/>
                <w:numId w:val="0"/>
              </w:numPr>
              <w:jc w:val="center"/>
              <w:rPr>
                <w:rFonts w:hint="eastAsia" w:ascii="宋体" w:hAnsi="宋体" w:eastAsia="宋体" w:cs="宋体"/>
                <w:sz w:val="24"/>
                <w:szCs w:val="24"/>
                <w:lang w:val="en-US" w:eastAsia="zh-CN"/>
              </w:rPr>
            </w:pPr>
          </w:p>
        </w:tc>
        <w:tc>
          <w:tcPr>
            <w:tcW w:w="1690" w:type="dxa"/>
            <w:vMerge w:val="continue"/>
            <w:shd w:val="clear" w:color="auto" w:fill="auto"/>
            <w:vAlign w:val="center"/>
          </w:tcPr>
          <w:p w14:paraId="5194C6F1">
            <w:pPr>
              <w:numPr>
                <w:ilvl w:val="0"/>
                <w:numId w:val="0"/>
              </w:numPr>
              <w:rPr>
                <w:rFonts w:hint="eastAsia" w:ascii="宋体" w:hAnsi="宋体" w:eastAsia="宋体" w:cs="宋体"/>
                <w:sz w:val="24"/>
                <w:szCs w:val="24"/>
                <w:lang w:val="en-US" w:eastAsia="zh-CN"/>
              </w:rPr>
            </w:pPr>
          </w:p>
        </w:tc>
        <w:tc>
          <w:tcPr>
            <w:tcW w:w="1720" w:type="dxa"/>
            <w:shd w:val="clear" w:color="auto" w:fill="auto"/>
            <w:vAlign w:val="center"/>
          </w:tcPr>
          <w:p w14:paraId="79BBDDD1">
            <w:pPr>
              <w:numPr>
                <w:ilvl w:val="0"/>
                <w:numId w:val="0"/>
              </w:num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QD3</w:t>
            </w:r>
          </w:p>
        </w:tc>
        <w:tc>
          <w:tcPr>
            <w:tcW w:w="4520" w:type="dxa"/>
            <w:shd w:val="clear" w:color="auto" w:fill="auto"/>
            <w:vAlign w:val="center"/>
          </w:tcPr>
          <w:p w14:paraId="73604F41">
            <w:pPr>
              <w:numPr>
                <w:ilvl w:val="0"/>
                <w:numId w:val="0"/>
              </w:numPr>
              <w:spacing w:line="240" w:lineRule="auto"/>
              <w:jc w:val="both"/>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流动式起重机、塔式起重机、升降机</w:t>
            </w:r>
          </w:p>
        </w:tc>
      </w:tr>
      <w:tr w14:paraId="53A8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592" w:type="dxa"/>
            <w:vMerge w:val="restart"/>
            <w:shd w:val="clear" w:color="auto" w:fill="auto"/>
            <w:vAlign w:val="center"/>
          </w:tcPr>
          <w:p w14:paraId="1BD888BD">
            <w:pPr>
              <w:numPr>
                <w:ilvl w:val="0"/>
                <w:numId w:val="0"/>
              </w:num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690" w:type="dxa"/>
            <w:vMerge w:val="restart"/>
            <w:shd w:val="clear" w:color="auto" w:fill="auto"/>
            <w:vAlign w:val="center"/>
          </w:tcPr>
          <w:p w14:paraId="04522171">
            <w:pPr>
              <w:numPr>
                <w:ilvl w:val="0"/>
                <w:numId w:val="0"/>
              </w:numPr>
              <w:spacing w:line="240" w:lineRule="auto"/>
              <w:jc w:val="center"/>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甲类检验机构 B1级</w:t>
            </w:r>
          </w:p>
        </w:tc>
        <w:tc>
          <w:tcPr>
            <w:tcW w:w="1720" w:type="dxa"/>
            <w:shd w:val="clear" w:color="auto" w:fill="auto"/>
            <w:vAlign w:val="center"/>
          </w:tcPr>
          <w:p w14:paraId="4CE195DB">
            <w:pPr>
              <w:numPr>
                <w:ilvl w:val="0"/>
                <w:numId w:val="0"/>
              </w:num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QD2</w:t>
            </w:r>
          </w:p>
        </w:tc>
        <w:tc>
          <w:tcPr>
            <w:tcW w:w="4520" w:type="dxa"/>
            <w:shd w:val="clear" w:color="auto" w:fill="auto"/>
            <w:vAlign w:val="center"/>
          </w:tcPr>
          <w:p w14:paraId="0861A9AC">
            <w:pPr>
              <w:numPr>
                <w:ilvl w:val="0"/>
                <w:numId w:val="0"/>
              </w:numPr>
              <w:spacing w:line="240" w:lineRule="auto"/>
              <w:jc w:val="both"/>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塔式起重机、流动式起重机、门座式起重机、升降机、缆索式起重机、桅杆式起重机、额定起重量小于10t(不含10t)的桥式起重机和门式起重机</w:t>
            </w:r>
          </w:p>
        </w:tc>
      </w:tr>
      <w:tr w14:paraId="5F90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2" w:type="dxa"/>
            <w:vMerge w:val="continue"/>
            <w:shd w:val="clear" w:color="auto" w:fill="auto"/>
            <w:vAlign w:val="center"/>
          </w:tcPr>
          <w:p w14:paraId="4778376D">
            <w:pPr>
              <w:numPr>
                <w:ilvl w:val="0"/>
                <w:numId w:val="0"/>
              </w:numPr>
              <w:jc w:val="center"/>
              <w:rPr>
                <w:rFonts w:hint="eastAsia" w:ascii="宋体" w:hAnsi="宋体" w:eastAsia="宋体" w:cs="宋体"/>
                <w:sz w:val="24"/>
                <w:szCs w:val="24"/>
                <w:lang w:val="en-US" w:eastAsia="zh-CN"/>
              </w:rPr>
            </w:pPr>
          </w:p>
        </w:tc>
        <w:tc>
          <w:tcPr>
            <w:tcW w:w="1690" w:type="dxa"/>
            <w:vMerge w:val="continue"/>
            <w:shd w:val="clear" w:color="auto" w:fill="auto"/>
            <w:vAlign w:val="center"/>
          </w:tcPr>
          <w:p w14:paraId="2796BA1D">
            <w:pPr>
              <w:numPr>
                <w:ilvl w:val="0"/>
                <w:numId w:val="0"/>
              </w:numPr>
              <w:spacing w:line="240" w:lineRule="auto"/>
              <w:jc w:val="center"/>
              <w:rPr>
                <w:rFonts w:hint="eastAsia" w:ascii="宋体" w:hAnsi="宋体" w:eastAsia="宋体" w:cs="宋体"/>
                <w:sz w:val="24"/>
                <w:szCs w:val="24"/>
                <w:lang w:val="en-US" w:eastAsia="zh-CN"/>
              </w:rPr>
            </w:pPr>
          </w:p>
        </w:tc>
        <w:tc>
          <w:tcPr>
            <w:tcW w:w="1720" w:type="dxa"/>
            <w:shd w:val="clear" w:color="auto" w:fill="auto"/>
            <w:vAlign w:val="center"/>
          </w:tcPr>
          <w:p w14:paraId="6E180C44">
            <w:pPr>
              <w:numPr>
                <w:ilvl w:val="0"/>
                <w:numId w:val="0"/>
              </w:num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QD3</w:t>
            </w:r>
          </w:p>
        </w:tc>
        <w:tc>
          <w:tcPr>
            <w:tcW w:w="4520" w:type="dxa"/>
            <w:shd w:val="clear" w:color="auto" w:fill="auto"/>
            <w:vAlign w:val="center"/>
          </w:tcPr>
          <w:p w14:paraId="3E234A7C">
            <w:pPr>
              <w:numPr>
                <w:ilvl w:val="0"/>
                <w:numId w:val="0"/>
              </w:numPr>
              <w:spacing w:line="240" w:lineRule="auto"/>
              <w:jc w:val="both"/>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流动式起重机、塔式起重机、升降机</w:t>
            </w:r>
          </w:p>
        </w:tc>
      </w:tr>
      <w:tr w14:paraId="664B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92" w:type="dxa"/>
            <w:shd w:val="clear" w:color="auto" w:fill="auto"/>
            <w:vAlign w:val="center"/>
          </w:tcPr>
          <w:p w14:paraId="4E666673">
            <w:pPr>
              <w:numPr>
                <w:ilvl w:val="0"/>
                <w:numId w:val="0"/>
              </w:num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690" w:type="dxa"/>
            <w:shd w:val="clear" w:color="auto" w:fill="auto"/>
            <w:vAlign w:val="center"/>
          </w:tcPr>
          <w:p w14:paraId="5273A642">
            <w:pPr>
              <w:numPr>
                <w:ilvl w:val="0"/>
                <w:numId w:val="0"/>
              </w:numPr>
              <w:spacing w:line="240" w:lineRule="auto"/>
              <w:jc w:val="center"/>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甲类检验机构 B</w:t>
            </w: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级</w:t>
            </w:r>
          </w:p>
        </w:tc>
        <w:tc>
          <w:tcPr>
            <w:tcW w:w="1720" w:type="dxa"/>
            <w:shd w:val="clear" w:color="auto" w:fill="auto"/>
            <w:vAlign w:val="center"/>
          </w:tcPr>
          <w:p w14:paraId="10C26BEA">
            <w:pPr>
              <w:numPr>
                <w:ilvl w:val="0"/>
                <w:numId w:val="0"/>
              </w:num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QD3</w:t>
            </w:r>
          </w:p>
        </w:tc>
        <w:tc>
          <w:tcPr>
            <w:tcW w:w="4520" w:type="dxa"/>
            <w:shd w:val="clear" w:color="auto" w:fill="auto"/>
            <w:vAlign w:val="center"/>
          </w:tcPr>
          <w:p w14:paraId="2A373E79">
            <w:pPr>
              <w:numPr>
                <w:ilvl w:val="0"/>
                <w:numId w:val="0"/>
              </w:numPr>
              <w:spacing w:line="240" w:lineRule="auto"/>
              <w:jc w:val="both"/>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流动式起重机、塔式起重机、升降机</w:t>
            </w:r>
          </w:p>
        </w:tc>
      </w:tr>
      <w:tr w14:paraId="576E0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92" w:type="dxa"/>
            <w:shd w:val="clear" w:color="auto" w:fill="auto"/>
            <w:vAlign w:val="center"/>
          </w:tcPr>
          <w:p w14:paraId="5E5FB05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690" w:type="dxa"/>
            <w:shd w:val="clear" w:color="auto" w:fill="auto"/>
            <w:vAlign w:val="center"/>
          </w:tcPr>
          <w:p w14:paraId="2EFAA8A0">
            <w:pPr>
              <w:numPr>
                <w:ilvl w:val="0"/>
                <w:numId w:val="0"/>
              </w:num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乙类检验机构</w:t>
            </w:r>
          </w:p>
        </w:tc>
        <w:tc>
          <w:tcPr>
            <w:tcW w:w="1720" w:type="dxa"/>
            <w:shd w:val="clear" w:color="auto" w:fill="auto"/>
            <w:vAlign w:val="center"/>
          </w:tcPr>
          <w:p w14:paraId="2476DFC3">
            <w:pPr>
              <w:numPr>
                <w:ilvl w:val="0"/>
                <w:numId w:val="0"/>
              </w:num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BDV</w:t>
            </w:r>
          </w:p>
        </w:tc>
        <w:tc>
          <w:tcPr>
            <w:tcW w:w="4520" w:type="dxa"/>
            <w:shd w:val="clear" w:color="auto" w:fill="auto"/>
            <w:vAlign w:val="center"/>
          </w:tcPr>
          <w:p w14:paraId="373F0624">
            <w:pPr>
              <w:numPr>
                <w:ilvl w:val="0"/>
                <w:numId w:val="0"/>
              </w:num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各类</w:t>
            </w:r>
            <w:r>
              <w:rPr>
                <w:rFonts w:hint="default" w:ascii="宋体" w:hAnsi="宋体" w:eastAsia="宋体" w:cs="宋体"/>
                <w:sz w:val="24"/>
                <w:szCs w:val="24"/>
                <w:lang w:val="en-US" w:eastAsia="zh-CN"/>
              </w:rPr>
              <w:t>起重机械</w:t>
            </w:r>
          </w:p>
        </w:tc>
      </w:tr>
    </w:tbl>
    <w:p w14:paraId="13D05400">
      <w:pPr>
        <w:numPr>
          <w:ilvl w:val="0"/>
          <w:numId w:val="0"/>
        </w:numPr>
        <w:ind w:firstLine="480" w:firstLineChars="200"/>
        <w:rPr>
          <w:rFonts w:hint="eastAsia" w:ascii="宋体" w:hAnsi="宋体" w:eastAsia="宋体" w:cs="宋体"/>
          <w:i w:val="0"/>
          <w:caps w:val="0"/>
          <w:spacing w:val="0"/>
          <w:sz w:val="24"/>
          <w:szCs w:val="24"/>
          <w:shd w:val="clear" w:fill="FFFFFF"/>
          <w:vertAlign w:val="baseline"/>
          <w:lang w:val="en-US" w:eastAsia="zh-CN"/>
        </w:rPr>
      </w:pPr>
    </w:p>
    <w:p w14:paraId="73C6E506">
      <w:pPr>
        <w:numPr>
          <w:ilvl w:val="0"/>
          <w:numId w:val="0"/>
        </w:numPr>
        <w:rPr>
          <w:rFonts w:hint="eastAsia" w:ascii="宋体" w:hAnsi="宋体" w:eastAsia="宋体" w:cs="宋体"/>
          <w:i w:val="0"/>
          <w:caps w:val="0"/>
          <w:spacing w:val="0"/>
          <w:sz w:val="24"/>
          <w:szCs w:val="24"/>
          <w:shd w:val="clear" w:fill="FFFFFF"/>
          <w:lang w:val="en-US" w:eastAsia="zh-CN"/>
        </w:rPr>
      </w:pPr>
      <w:r>
        <w:rPr>
          <w:rFonts w:hint="eastAsia" w:ascii="宋体" w:hAnsi="宋体" w:eastAsia="宋体" w:cs="宋体"/>
          <w:b/>
          <w:bCs/>
          <w:i w:val="0"/>
          <w:caps w:val="0"/>
          <w:spacing w:val="0"/>
          <w:sz w:val="24"/>
          <w:szCs w:val="24"/>
          <w:shd w:val="clear" w:fill="FFFFFF"/>
          <w:vertAlign w:val="baseline"/>
          <w:lang w:val="en-US" w:eastAsia="zh-CN"/>
        </w:rPr>
        <w:t>4.1.2</w:t>
      </w:r>
      <w:r>
        <w:rPr>
          <w:rFonts w:hint="eastAsia" w:ascii="宋体" w:hAnsi="宋体" w:eastAsia="宋体" w:cs="宋体"/>
          <w:i w:val="0"/>
          <w:caps w:val="0"/>
          <w:spacing w:val="0"/>
          <w:sz w:val="24"/>
          <w:szCs w:val="24"/>
          <w:shd w:val="clear" w:fill="FFFFFF"/>
          <w:vertAlign w:val="baseline"/>
          <w:lang w:val="en-US" w:eastAsia="zh-CN"/>
        </w:rPr>
        <w:t xml:space="preserve">  </w:t>
      </w:r>
      <w:r>
        <w:rPr>
          <w:rFonts w:hint="eastAsia" w:ascii="宋体" w:hAnsi="宋体" w:eastAsia="宋体" w:cs="宋体"/>
          <w:b w:val="0"/>
          <w:bCs w:val="0"/>
          <w:strike w:val="0"/>
          <w:dstrike w:val="0"/>
          <w:color w:val="auto"/>
          <w:sz w:val="24"/>
          <w:szCs w:val="24"/>
          <w:lang w:val="en-US" w:eastAsia="zh-CN"/>
        </w:rPr>
        <w:t>第三方</w:t>
      </w:r>
      <w:r>
        <w:rPr>
          <w:rFonts w:hint="eastAsia" w:ascii="宋体" w:hAnsi="宋体" w:eastAsia="宋体" w:cs="宋体"/>
          <w:i w:val="0"/>
          <w:caps w:val="0"/>
          <w:color w:val="auto"/>
          <w:spacing w:val="0"/>
          <w:sz w:val="24"/>
          <w:szCs w:val="24"/>
          <w:shd w:val="clear" w:fill="FFFFFF"/>
          <w:vertAlign w:val="baseline"/>
          <w:lang w:val="en-US" w:eastAsia="zh-CN"/>
        </w:rPr>
        <w:t>从事</w:t>
      </w:r>
      <w:r>
        <w:rPr>
          <w:rFonts w:hint="eastAsia" w:ascii="宋体" w:hAnsi="宋体" w:eastAsia="宋体" w:cs="宋体"/>
          <w:i w:val="0"/>
          <w:caps w:val="0"/>
          <w:color w:val="auto"/>
          <w:spacing w:val="0"/>
          <w:sz w:val="24"/>
          <w:szCs w:val="24"/>
          <w:shd w:val="clear" w:fill="FFFFFF"/>
          <w:lang w:val="en-US" w:eastAsia="zh-CN"/>
        </w:rPr>
        <w:t>附着式升降脚手架、高处作业吊篮、汽车（轮胎）起重机等检查时应具备市场监督管理部门颁发的相应检验项目资质认定证书（CMA）。</w:t>
      </w:r>
    </w:p>
    <w:p w14:paraId="0D0F6613">
      <w:pPr>
        <w:numPr>
          <w:ilvl w:val="0"/>
          <w:numId w:val="0"/>
        </w:numPr>
        <w:rPr>
          <w:rFonts w:hint="default" w:ascii="宋体" w:hAnsi="宋体" w:eastAsia="宋体" w:cs="宋体"/>
          <w:i w:val="0"/>
          <w:caps w:val="0"/>
          <w:spacing w:val="0"/>
          <w:sz w:val="24"/>
          <w:szCs w:val="24"/>
          <w:shd w:val="clear" w:fill="FFFFFF"/>
          <w:lang w:val="en-US" w:eastAsia="zh-CN"/>
        </w:rPr>
      </w:pPr>
      <w:r>
        <w:rPr>
          <w:rFonts w:hint="eastAsia" w:ascii="宋体" w:hAnsi="宋体" w:eastAsia="宋体" w:cs="宋体"/>
          <w:b/>
          <w:bCs/>
          <w:i w:val="0"/>
          <w:caps w:val="0"/>
          <w:spacing w:val="0"/>
          <w:sz w:val="24"/>
          <w:szCs w:val="24"/>
          <w:shd w:val="clear" w:fill="FFFFFF"/>
          <w:lang w:val="en-US" w:eastAsia="zh-CN"/>
        </w:rPr>
        <w:t xml:space="preserve">4.1.3  </w:t>
      </w:r>
      <w:r>
        <w:rPr>
          <w:rFonts w:hint="eastAsia" w:ascii="宋体" w:hAnsi="宋体" w:eastAsia="宋体" w:cs="宋体"/>
          <w:b w:val="0"/>
          <w:bCs w:val="0"/>
          <w:strike w:val="0"/>
          <w:dstrike w:val="0"/>
          <w:color w:val="auto"/>
          <w:sz w:val="24"/>
          <w:szCs w:val="24"/>
          <w:lang w:val="en-US" w:eastAsia="zh-CN"/>
        </w:rPr>
        <w:t>第三方</w:t>
      </w:r>
      <w:r>
        <w:rPr>
          <w:rFonts w:hint="eastAsia" w:ascii="宋体" w:hAnsi="宋体" w:eastAsia="宋体" w:cs="宋体"/>
          <w:i w:val="0"/>
          <w:caps w:val="0"/>
          <w:color w:val="auto"/>
          <w:spacing w:val="0"/>
          <w:sz w:val="24"/>
          <w:szCs w:val="24"/>
          <w:shd w:val="clear" w:fill="FFFFFF"/>
          <w:lang w:val="en-US" w:eastAsia="zh-CN"/>
        </w:rPr>
        <w:t>应在杭州市内有工作所需的固定办公场所和满足检查要求的仪器设备。</w:t>
      </w:r>
    </w:p>
    <w:p w14:paraId="7304C2EC">
      <w:pPr>
        <w:numPr>
          <w:ilvl w:val="0"/>
          <w:numId w:val="0"/>
        </w:numPr>
        <w:ind w:leftChars="0"/>
        <w:jc w:val="lef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4.2 检查人员能力要求</w:t>
      </w:r>
    </w:p>
    <w:p w14:paraId="7FA541CC">
      <w:pPr>
        <w:numPr>
          <w:ilvl w:val="0"/>
          <w:numId w:val="0"/>
        </w:num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 xml:space="preserve">4.2.1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strike w:val="0"/>
          <w:dstrike w:val="0"/>
          <w:color w:val="auto"/>
          <w:sz w:val="24"/>
          <w:szCs w:val="24"/>
          <w:lang w:val="en-US" w:eastAsia="zh-CN"/>
        </w:rPr>
        <w:t>第三方</w:t>
      </w:r>
      <w:r>
        <w:rPr>
          <w:rFonts w:hint="eastAsia" w:ascii="宋体" w:hAnsi="宋体" w:eastAsia="宋体" w:cs="宋体"/>
          <w:b w:val="0"/>
          <w:bCs w:val="0"/>
          <w:i w:val="0"/>
          <w:caps w:val="0"/>
          <w:color w:val="auto"/>
          <w:spacing w:val="0"/>
          <w:sz w:val="24"/>
          <w:szCs w:val="24"/>
          <w:shd w:val="clear" w:fill="FFFFFF"/>
          <w:vertAlign w:val="baseline"/>
          <w:lang w:val="en-US" w:eastAsia="zh-CN"/>
        </w:rPr>
        <w:t>实施检查的人员应取得</w:t>
      </w:r>
      <w:r>
        <w:rPr>
          <w:rFonts w:hint="eastAsia" w:ascii="宋体" w:hAnsi="宋体" w:eastAsia="宋体" w:cs="宋体"/>
          <w:color w:val="auto"/>
          <w:sz w:val="24"/>
          <w:szCs w:val="24"/>
          <w:lang w:val="en-US" w:eastAsia="zh-CN"/>
        </w:rPr>
        <w:t>国家（省）市场监督管理局核发的起重机械检验员或检验师证书，且应是承担检查业务的</w:t>
      </w:r>
      <w:r>
        <w:rPr>
          <w:rFonts w:hint="eastAsia" w:ascii="宋体" w:hAnsi="宋体" w:eastAsia="宋体" w:cs="宋体"/>
          <w:b w:val="0"/>
          <w:bCs w:val="0"/>
          <w:strike w:val="0"/>
          <w:dstrike w:val="0"/>
          <w:color w:val="auto"/>
          <w:sz w:val="24"/>
          <w:szCs w:val="24"/>
          <w:lang w:val="en-US" w:eastAsia="zh-CN"/>
        </w:rPr>
        <w:t>第三方</w:t>
      </w:r>
      <w:r>
        <w:rPr>
          <w:rFonts w:hint="eastAsia" w:ascii="宋体" w:hAnsi="宋体" w:eastAsia="宋体" w:cs="宋体"/>
          <w:color w:val="auto"/>
          <w:sz w:val="24"/>
          <w:szCs w:val="24"/>
          <w:lang w:val="en-US" w:eastAsia="zh-CN"/>
        </w:rPr>
        <w:t>单位注册人员。</w:t>
      </w:r>
    </w:p>
    <w:p w14:paraId="446BF165">
      <w:pPr>
        <w:numPr>
          <w:ilvl w:val="0"/>
          <w:numId w:val="0"/>
        </w:numPr>
        <w:jc w:val="left"/>
        <w:rPr>
          <w:rFonts w:hint="default" w:ascii="宋体" w:hAnsi="宋体" w:eastAsia="宋体" w:cs="宋体"/>
          <w:b w:val="0"/>
          <w:bCs w:val="0"/>
          <w:i w:val="0"/>
          <w:caps w:val="0"/>
          <w:color w:val="FF0000"/>
          <w:spacing w:val="0"/>
          <w:sz w:val="24"/>
          <w:szCs w:val="24"/>
          <w:shd w:val="clear" w:fill="FFFFFF"/>
          <w:vertAlign w:val="baseline"/>
          <w:lang w:val="en-US" w:eastAsia="zh-CN"/>
        </w:rPr>
      </w:pPr>
      <w:r>
        <w:rPr>
          <w:rFonts w:hint="eastAsia" w:ascii="宋体" w:hAnsi="宋体" w:eastAsia="宋体" w:cs="宋体"/>
          <w:b/>
          <w:bCs/>
          <w:color w:val="auto"/>
          <w:sz w:val="24"/>
          <w:szCs w:val="24"/>
          <w:lang w:val="en-US" w:eastAsia="zh-CN"/>
        </w:rPr>
        <w:t xml:space="preserve">4.2.2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i w:val="0"/>
          <w:caps w:val="0"/>
          <w:color w:val="auto"/>
          <w:spacing w:val="0"/>
          <w:sz w:val="24"/>
          <w:szCs w:val="24"/>
          <w:shd w:val="clear" w:fill="FFFFFF"/>
          <w:vertAlign w:val="baseline"/>
          <w:lang w:val="en-US" w:eastAsia="zh-CN"/>
        </w:rPr>
        <w:t>对受检设备采用无损检测方式检查时，检查人员必须具备相应资格证书。</w:t>
      </w:r>
    </w:p>
    <w:p w14:paraId="00A6DA57">
      <w:pPr>
        <w:numPr>
          <w:ilvl w:val="0"/>
          <w:numId w:val="0"/>
        </w:numPr>
        <w:jc w:val="center"/>
        <w:rPr>
          <w:rFonts w:hint="eastAsia" w:ascii="宋体" w:hAnsi="宋体" w:eastAsia="宋体" w:cs="宋体"/>
          <w:b/>
          <w:bCs/>
          <w:color w:val="auto"/>
          <w:sz w:val="28"/>
          <w:szCs w:val="28"/>
          <w:lang w:val="en-US" w:eastAsia="zh-CN"/>
        </w:rPr>
      </w:pPr>
    </w:p>
    <w:p w14:paraId="7618C3C3">
      <w:pPr>
        <w:numPr>
          <w:ilvl w:val="0"/>
          <w:numId w:val="0"/>
        </w:numPr>
        <w:jc w:val="cente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color w:val="auto"/>
          <w:sz w:val="28"/>
          <w:szCs w:val="28"/>
          <w:lang w:val="en-US" w:eastAsia="zh-CN"/>
        </w:rPr>
        <w:t>5  检查流程</w:t>
      </w:r>
    </w:p>
    <w:p w14:paraId="6E50BEBA">
      <w:pPr>
        <w:numPr>
          <w:ilvl w:val="0"/>
          <w:numId w:val="0"/>
        </w:numP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t xml:space="preserve">5.0.1  </w:t>
      </w: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检查内容为相关技术资料审阅和设备实体检查。</w:t>
      </w:r>
    </w:p>
    <w:p w14:paraId="5AB5457D">
      <w:pPr>
        <w:numPr>
          <w:ilvl w:val="0"/>
          <w:numId w:val="0"/>
        </w:numPr>
        <w:rPr>
          <w:rFonts w:hint="eastAsia" w:ascii="宋体" w:hAnsi="宋体" w:eastAsia="宋体" w:cs="宋体"/>
          <w:sz w:val="24"/>
          <w:szCs w:val="24"/>
          <w:lang w:val="en-US" w:eastAsia="zh-CN"/>
        </w:rPr>
      </w:pPr>
      <w: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t xml:space="preserve">5.0.2  </w:t>
      </w:r>
      <w:r>
        <w:rPr>
          <w:rFonts w:hint="eastAsia" w:ascii="宋体" w:hAnsi="宋体" w:eastAsia="宋体" w:cs="宋体"/>
          <w:b w:val="0"/>
          <w:bCs w:val="0"/>
          <w:i w:val="0"/>
          <w:caps w:val="0"/>
          <w:color w:val="auto"/>
          <w:spacing w:val="0"/>
          <w:sz w:val="24"/>
          <w:szCs w:val="24"/>
          <w:shd w:val="clear" w:fill="FFFFFF"/>
          <w:lang w:val="en-US" w:eastAsia="zh-CN"/>
        </w:rPr>
        <w:t>检查完成后，</w:t>
      </w:r>
      <w:r>
        <w:rPr>
          <w:rFonts w:hint="eastAsia" w:ascii="宋体" w:hAnsi="宋体" w:eastAsia="宋体" w:cs="宋体"/>
          <w:b w:val="0"/>
          <w:bCs w:val="0"/>
          <w:strike w:val="0"/>
          <w:dstrike w:val="0"/>
          <w:color w:val="auto"/>
          <w:sz w:val="24"/>
          <w:szCs w:val="24"/>
          <w:lang w:val="en-US" w:eastAsia="zh-CN"/>
        </w:rPr>
        <w:t>第三方</w:t>
      </w:r>
      <w:r>
        <w:rPr>
          <w:rFonts w:hint="eastAsia" w:ascii="宋体" w:hAnsi="宋体" w:eastAsia="宋体" w:cs="宋体"/>
          <w:b w:val="0"/>
          <w:bCs w:val="0"/>
          <w:i w:val="0"/>
          <w:caps w:val="0"/>
          <w:color w:val="auto"/>
          <w:spacing w:val="0"/>
          <w:sz w:val="24"/>
          <w:szCs w:val="24"/>
          <w:shd w:val="clear" w:fill="FFFFFF"/>
          <w:lang w:val="en-US" w:eastAsia="zh-CN"/>
        </w:rPr>
        <w:t>应按本指引检查意见书</w:t>
      </w:r>
      <w:r>
        <w:rPr>
          <w:rFonts w:hint="eastAsia" w:ascii="宋体" w:hAnsi="宋体" w:eastAsia="宋体" w:cs="宋体"/>
          <w:color w:val="auto"/>
          <w:sz w:val="24"/>
          <w:szCs w:val="24"/>
          <w:lang w:val="en-US" w:eastAsia="zh-CN"/>
        </w:rPr>
        <w:t>现场填写检查结果表。检查结果应具有以下内容：</w:t>
      </w:r>
    </w:p>
    <w:p w14:paraId="1978A30E">
      <w:pPr>
        <w:numPr>
          <w:ilvl w:val="0"/>
          <w:numId w:val="0"/>
        </w:numPr>
        <w:ind w:left="480" w:leftChars="15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 红线隐患和其他隐患应分别相应描述；</w:t>
      </w:r>
    </w:p>
    <w:p w14:paraId="072D242E">
      <w:pPr>
        <w:numPr>
          <w:ilvl w:val="0"/>
          <w:numId w:val="0"/>
        </w:numPr>
        <w:ind w:left="480" w:leftChars="150" w:firstLine="0" w:firstLineChars="0"/>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2.</w:t>
      </w: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highlight w:val="none"/>
          <w:lang w:val="en-US" w:eastAsia="zh-CN"/>
        </w:rPr>
        <w:t>停用和监护使用、整改检查结果判定；</w:t>
      </w:r>
    </w:p>
    <w:p w14:paraId="643C5532">
      <w:pPr>
        <w:numPr>
          <w:ilvl w:val="0"/>
          <w:numId w:val="0"/>
        </w:numPr>
        <w:ind w:left="480" w:leftChars="150" w:firstLine="0" w:firstLineChars="0"/>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lang w:val="en-US" w:eastAsia="zh-CN"/>
        </w:rPr>
        <w:t>检查人员签名，被检单位相关人员确认签名。</w:t>
      </w:r>
    </w:p>
    <w:p w14:paraId="6F568D4C">
      <w:pPr>
        <w:numPr>
          <w:ilvl w:val="0"/>
          <w:numId w:val="0"/>
        </w:numPr>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 xml:space="preserve">5.0.3  </w:t>
      </w:r>
      <w:r>
        <w:rPr>
          <w:rFonts w:hint="eastAsia" w:ascii="宋体" w:hAnsi="宋体" w:eastAsia="宋体" w:cs="宋体"/>
          <w:b w:val="0"/>
          <w:bCs w:val="0"/>
          <w:i w:val="0"/>
          <w:caps w:val="0"/>
          <w:color w:val="auto"/>
          <w:spacing w:val="0"/>
          <w:sz w:val="24"/>
          <w:szCs w:val="24"/>
          <w:highlight w:val="none"/>
          <w:shd w:val="clear" w:fill="FFFFFF"/>
          <w:lang w:val="en-US" w:eastAsia="zh-CN"/>
        </w:rPr>
        <w:t>检查结果存在红线隐患和</w:t>
      </w:r>
      <w:r>
        <w:rPr>
          <w:rFonts w:hint="eastAsia" w:ascii="宋体" w:hAnsi="宋体" w:eastAsia="宋体" w:cs="宋体"/>
          <w:color w:val="auto"/>
          <w:sz w:val="24"/>
          <w:szCs w:val="24"/>
          <w:highlight w:val="none"/>
          <w:lang w:val="en-US" w:eastAsia="zh-CN"/>
        </w:rPr>
        <w:t>其他隐患</w:t>
      </w:r>
      <w:r>
        <w:rPr>
          <w:rFonts w:hint="eastAsia" w:ascii="宋体" w:hAnsi="宋体" w:eastAsia="宋体" w:cs="宋体"/>
          <w:b w:val="0"/>
          <w:bCs w:val="0"/>
          <w:i w:val="0"/>
          <w:caps w:val="0"/>
          <w:color w:val="auto"/>
          <w:spacing w:val="0"/>
          <w:sz w:val="24"/>
          <w:szCs w:val="24"/>
          <w:highlight w:val="none"/>
          <w:shd w:val="clear" w:fill="FFFFFF"/>
          <w:lang w:val="en-US" w:eastAsia="zh-CN"/>
        </w:rPr>
        <w:t>的，检查人员应</w:t>
      </w:r>
      <w:r>
        <w:rPr>
          <w:rFonts w:hint="eastAsia" w:ascii="宋体" w:hAnsi="宋体" w:eastAsia="宋体" w:cs="宋体"/>
          <w:color w:val="auto"/>
          <w:sz w:val="24"/>
          <w:szCs w:val="24"/>
          <w:highlight w:val="none"/>
          <w:lang w:val="en-US" w:eastAsia="zh-CN"/>
        </w:rPr>
        <w:t>留存相应的影像证明资料。</w:t>
      </w:r>
    </w:p>
    <w:p w14:paraId="402ADD3D">
      <w:pPr>
        <w:keepNext w:val="0"/>
        <w:keepLines w:val="0"/>
        <w:pageBreakBefore w:val="0"/>
        <w:widowControl w:val="0"/>
        <w:numPr>
          <w:ilvl w:val="0"/>
          <w:numId w:val="0"/>
        </w:numPr>
        <w:kinsoku/>
        <w:wordWrap/>
        <w:overflowPunct/>
        <w:topLinePunct w:val="0"/>
        <w:autoSpaceDE/>
        <w:autoSpaceDN/>
        <w:bidi w:val="0"/>
        <w:adjustRightInd/>
        <w:snapToGrid w:val="0"/>
        <w:ind w:leftChars="0"/>
        <w:jc w:val="left"/>
        <w:textAlignment w:val="auto"/>
        <w:rPr>
          <w:rFonts w:hint="eastAsia" w:ascii="宋体" w:hAnsi="宋体" w:eastAsia="宋体" w:cs="宋体"/>
          <w:sz w:val="24"/>
          <w:szCs w:val="24"/>
          <w:lang w:val="en-US" w:eastAsia="zh-CN"/>
        </w:rPr>
      </w:pPr>
      <w: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t xml:space="preserve">5.0.4  </w:t>
      </w:r>
      <w:r>
        <w:rPr>
          <w:rFonts w:hint="eastAsia" w:ascii="宋体" w:hAnsi="宋体" w:eastAsia="宋体" w:cs="宋体"/>
          <w:b w:val="0"/>
          <w:bCs w:val="0"/>
          <w:color w:val="auto"/>
          <w:sz w:val="24"/>
          <w:szCs w:val="24"/>
          <w:lang w:val="en-US" w:eastAsia="zh-CN"/>
        </w:rPr>
        <w:t>被检设备存在红线隐患的应停机整改，存在其他隐患的应监护使用，整改。</w:t>
      </w:r>
      <w:r>
        <w:rPr>
          <w:rFonts w:hint="eastAsia" w:ascii="宋体" w:hAnsi="宋体" w:eastAsia="宋体" w:cs="宋体"/>
          <w:color w:val="auto"/>
          <w:sz w:val="24"/>
          <w:szCs w:val="24"/>
          <w:highlight w:val="none"/>
          <w:lang w:val="en-US" w:eastAsia="zh-CN"/>
        </w:rPr>
        <w:t>对红线隐患有可能自行继续扩大的，受检单位还应做好安全保护措施。</w:t>
      </w:r>
    </w:p>
    <w:p w14:paraId="43896EF9">
      <w:pPr>
        <w:numPr>
          <w:ilvl w:val="0"/>
          <w:numId w:val="0"/>
        </w:numPr>
        <w:rPr>
          <w:rFonts w:hint="default" w:ascii="宋体" w:hAnsi="宋体" w:eastAsia="宋体" w:cs="宋体"/>
          <w:color w:val="00B050"/>
          <w:sz w:val="24"/>
          <w:szCs w:val="24"/>
          <w:lang w:val="en-US" w:eastAsia="zh-CN"/>
        </w:rPr>
      </w:pPr>
      <w:r>
        <w:rPr>
          <w:rFonts w:hint="eastAsia" w:ascii="宋体" w:hAnsi="宋体" w:eastAsia="宋体" w:cs="宋体"/>
          <w:b/>
          <w:bCs/>
          <w:i w:val="0"/>
          <w:caps w:val="0"/>
          <w:color w:val="auto"/>
          <w:spacing w:val="0"/>
          <w:sz w:val="24"/>
          <w:szCs w:val="24"/>
          <w:shd w:val="clear" w:fill="FFFFFF"/>
          <w:lang w:val="en-US" w:eastAsia="zh-CN"/>
        </w:rPr>
        <w:t xml:space="preserve">5.0.5  </w:t>
      </w:r>
      <w:r>
        <w:rPr>
          <w:rFonts w:hint="eastAsia" w:ascii="宋体" w:hAnsi="宋体" w:eastAsia="宋体" w:cs="宋体"/>
          <w:b w:val="0"/>
          <w:bCs w:val="0"/>
          <w:i w:val="0"/>
          <w:caps w:val="0"/>
          <w:color w:val="auto"/>
          <w:spacing w:val="0"/>
          <w:sz w:val="24"/>
          <w:szCs w:val="24"/>
          <w:shd w:val="clear" w:fill="FFFFFF"/>
          <w:lang w:val="en-US" w:eastAsia="zh-CN"/>
        </w:rPr>
        <w:t>第三方</w:t>
      </w:r>
      <w:r>
        <w:rPr>
          <w:rFonts w:hint="eastAsia" w:ascii="宋体" w:hAnsi="宋体" w:eastAsia="宋体" w:cs="宋体"/>
          <w:color w:val="auto"/>
          <w:sz w:val="24"/>
          <w:szCs w:val="24"/>
          <w:lang w:val="en-US" w:eastAsia="zh-CN"/>
        </w:rPr>
        <w:t>应按</w:t>
      </w:r>
      <w:r>
        <w:rPr>
          <w:rFonts w:hint="eastAsia" w:ascii="宋体" w:hAnsi="宋体" w:eastAsia="宋体" w:cs="宋体"/>
          <w:b w:val="0"/>
          <w:bCs w:val="0"/>
          <w:color w:val="auto"/>
          <w:kern w:val="0"/>
          <w:sz w:val="24"/>
          <w:szCs w:val="24"/>
          <w:lang w:val="en-US" w:eastAsia="zh-CN" w:bidi="ar"/>
        </w:rPr>
        <w:t>聘请或</w:t>
      </w:r>
      <w:r>
        <w:rPr>
          <w:rFonts w:hint="eastAsia" w:ascii="宋体" w:hAnsi="宋体" w:eastAsia="宋体" w:cs="宋体"/>
          <w:color w:val="auto"/>
          <w:sz w:val="24"/>
          <w:szCs w:val="24"/>
          <w:lang w:val="en-US" w:eastAsia="zh-CN"/>
        </w:rPr>
        <w:t>委托单位要求及时把检查结果表上报</w:t>
      </w:r>
      <w:r>
        <w:rPr>
          <w:rFonts w:hint="eastAsia" w:ascii="宋体" w:hAnsi="宋体" w:eastAsia="宋体" w:cs="宋体"/>
          <w:b w:val="0"/>
          <w:bCs w:val="0"/>
          <w:i w:val="0"/>
          <w:caps w:val="0"/>
          <w:color w:val="auto"/>
          <w:spacing w:val="0"/>
          <w:sz w:val="24"/>
          <w:szCs w:val="24"/>
          <w:shd w:val="clear" w:fill="FFFFFF"/>
          <w:lang w:val="en-US" w:eastAsia="zh-CN"/>
        </w:rPr>
        <w:t>，并</w:t>
      </w:r>
      <w:r>
        <w:rPr>
          <w:rFonts w:hint="eastAsia" w:ascii="宋体" w:hAnsi="宋体" w:eastAsia="宋体" w:cs="宋体"/>
          <w:color w:val="auto"/>
          <w:sz w:val="24"/>
          <w:szCs w:val="24"/>
          <w:lang w:val="en-US" w:eastAsia="zh-CN"/>
        </w:rPr>
        <w:t>将红线隐患定期报送至机械安全分会。</w:t>
      </w:r>
    </w:p>
    <w:p w14:paraId="6BFE522F">
      <w:pPr>
        <w:numPr>
          <w:ilvl w:val="0"/>
          <w:numId w:val="0"/>
        </w:numPr>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5.0.6</w:t>
      </w:r>
      <w:r>
        <w:rPr>
          <w:rFonts w:hint="eastAsia" w:ascii="宋体" w:hAnsi="宋体" w:eastAsia="宋体" w:cs="宋体"/>
          <w:color w:val="auto"/>
          <w:sz w:val="24"/>
          <w:szCs w:val="24"/>
          <w:lang w:val="en-US" w:eastAsia="zh-CN"/>
        </w:rPr>
        <w:t xml:space="preserve">  机械安全分会应根据第三方上报红线隐患分析研判，向建设主管部门报告。并负责本指引执行过程中存在异议的解释。</w:t>
      </w:r>
    </w:p>
    <w:p w14:paraId="15E13F41">
      <w:pPr>
        <w:numPr>
          <w:ilvl w:val="0"/>
          <w:numId w:val="0"/>
        </w:numPr>
        <w:rPr>
          <w:rFonts w:hint="default" w:ascii="宋体" w:hAnsi="宋体" w:eastAsia="宋体" w:cs="宋体"/>
          <w:b w:val="0"/>
          <w:bCs w:val="0"/>
          <w:i w:val="0"/>
          <w:caps w:val="0"/>
          <w:color w:val="000000" w:themeColor="text1"/>
          <w:spacing w:val="0"/>
          <w:kern w:val="2"/>
          <w:sz w:val="24"/>
          <w:szCs w:val="24"/>
          <w:shd w:val="clear" w:fill="FFFFFF"/>
          <w:lang w:val="en-US" w:eastAsia="zh-CN" w:bidi="ar-SA"/>
          <w14:textFill>
            <w14:solidFill>
              <w14:schemeClr w14:val="tx1"/>
            </w14:solidFill>
          </w14:textFill>
        </w:rPr>
      </w:pPr>
      <w:r>
        <w:rPr>
          <w:rFonts w:hint="eastAsia" w:ascii="宋体" w:hAnsi="宋体" w:eastAsia="宋体" w:cs="宋体"/>
          <w:b/>
          <w:bCs/>
          <w:i w:val="0"/>
          <w:caps w:val="0"/>
          <w:color w:val="000000" w:themeColor="text1"/>
          <w:spacing w:val="0"/>
          <w:kern w:val="2"/>
          <w:sz w:val="24"/>
          <w:szCs w:val="24"/>
          <w:shd w:val="clear" w:fill="FFFFFF"/>
          <w:lang w:val="en-US" w:eastAsia="zh-CN" w:bidi="ar-SA"/>
          <w14:textFill>
            <w14:solidFill>
              <w14:schemeClr w14:val="tx1"/>
            </w14:solidFill>
          </w14:textFill>
        </w:rPr>
        <w:t>5.0.</w:t>
      </w:r>
      <w:r>
        <w:rPr>
          <w:rFonts w:hint="eastAsia" w:ascii="宋体" w:hAnsi="宋体" w:cs="宋体"/>
          <w:b/>
          <w:bCs/>
          <w:i w:val="0"/>
          <w:caps w:val="0"/>
          <w:color w:val="000000" w:themeColor="text1"/>
          <w:spacing w:val="0"/>
          <w:kern w:val="2"/>
          <w:sz w:val="24"/>
          <w:szCs w:val="24"/>
          <w:shd w:val="clear" w:fill="FFFFFF"/>
          <w:lang w:val="en-US" w:eastAsia="zh-CN" w:bidi="ar-SA"/>
          <w14:textFill>
            <w14:solidFill>
              <w14:schemeClr w14:val="tx1"/>
            </w14:solidFill>
          </w14:textFill>
        </w:rPr>
        <w:t>7</w:t>
      </w:r>
      <w:r>
        <w:rPr>
          <w:rFonts w:hint="eastAsia" w:ascii="宋体" w:hAnsi="宋体" w:eastAsia="宋体" w:cs="宋体"/>
          <w:b w:val="0"/>
          <w:bCs w:val="0"/>
          <w:i w:val="0"/>
          <w:caps w:val="0"/>
          <w:color w:val="000000" w:themeColor="text1"/>
          <w:spacing w:val="0"/>
          <w:kern w:val="2"/>
          <w:sz w:val="24"/>
          <w:szCs w:val="24"/>
          <w:shd w:val="clear" w:fill="FFFFFF"/>
          <w:lang w:val="en-US" w:eastAsia="zh-CN" w:bidi="ar-SA"/>
          <w14:textFill>
            <w14:solidFill>
              <w14:schemeClr w14:val="tx1"/>
            </w14:solidFill>
          </w14:textFill>
        </w:rPr>
        <w:t xml:space="preserve"> </w:t>
      </w:r>
      <w:r>
        <w:rPr>
          <w:rFonts w:hint="eastAsia" w:ascii="宋体" w:hAnsi="宋体" w:cs="宋体"/>
          <w:b w:val="0"/>
          <w:bCs w:val="0"/>
          <w:i w:val="0"/>
          <w:caps w:val="0"/>
          <w:color w:val="000000" w:themeColor="text1"/>
          <w:spacing w:val="0"/>
          <w:kern w:val="2"/>
          <w:sz w:val="24"/>
          <w:szCs w:val="24"/>
          <w:shd w:val="clear" w:fill="FFFFFF"/>
          <w:lang w:val="en-US" w:eastAsia="zh-CN" w:bidi="ar-SA"/>
          <w14:textFill>
            <w14:solidFill>
              <w14:schemeClr w14:val="tx1"/>
            </w14:solidFill>
          </w14:textFill>
        </w:rPr>
        <w:t xml:space="preserve"> </w:t>
      </w:r>
      <w:r>
        <w:rPr>
          <w:rFonts w:hint="eastAsia" w:ascii="宋体" w:hAnsi="宋体" w:eastAsia="宋体" w:cs="宋体"/>
          <w:b w:val="0"/>
          <w:bCs w:val="0"/>
          <w:i w:val="0"/>
          <w:caps w:val="0"/>
          <w:color w:val="000000" w:themeColor="text1"/>
          <w:spacing w:val="0"/>
          <w:kern w:val="2"/>
          <w:sz w:val="24"/>
          <w:szCs w:val="24"/>
          <w:shd w:val="clear" w:fill="FFFFFF"/>
          <w:lang w:val="en-US" w:eastAsia="zh-CN" w:bidi="ar-SA"/>
          <w14:textFill>
            <w14:solidFill>
              <w14:schemeClr w14:val="tx1"/>
            </w14:solidFill>
          </w14:textFill>
        </w:rPr>
        <w:t>检查流程见图</w:t>
      </w:r>
      <w:r>
        <w:rPr>
          <w:rFonts w:hint="eastAsia" w:ascii="宋体" w:hAnsi="宋体" w:cs="宋体"/>
          <w:b w:val="0"/>
          <w:bCs w:val="0"/>
          <w:i w:val="0"/>
          <w:caps w:val="0"/>
          <w:color w:val="000000" w:themeColor="text1"/>
          <w:spacing w:val="0"/>
          <w:kern w:val="2"/>
          <w:sz w:val="24"/>
          <w:szCs w:val="24"/>
          <w:shd w:val="clear" w:fill="FFFFFF"/>
          <w:lang w:val="en-US" w:eastAsia="zh-CN" w:bidi="ar-SA"/>
          <w14:textFill>
            <w14:solidFill>
              <w14:schemeClr w14:val="tx1"/>
            </w14:solidFill>
          </w14:textFill>
        </w:rPr>
        <w:t>1</w:t>
      </w:r>
      <w:r>
        <w:rPr>
          <w:rFonts w:hint="eastAsia" w:ascii="宋体" w:hAnsi="宋体" w:eastAsia="宋体" w:cs="宋体"/>
          <w:b w:val="0"/>
          <w:bCs w:val="0"/>
          <w:i w:val="0"/>
          <w:caps w:val="0"/>
          <w:color w:val="000000" w:themeColor="text1"/>
          <w:spacing w:val="0"/>
          <w:kern w:val="2"/>
          <w:sz w:val="24"/>
          <w:szCs w:val="24"/>
          <w:shd w:val="clear" w:fill="FFFFFF"/>
          <w:lang w:val="en-US" w:eastAsia="zh-CN" w:bidi="ar-SA"/>
          <w14:textFill>
            <w14:solidFill>
              <w14:schemeClr w14:val="tx1"/>
            </w14:solidFill>
          </w14:textFill>
        </w:rPr>
        <w:t>。</w:t>
      </w:r>
    </w:p>
    <w:p w14:paraId="4D82457D">
      <w:pPr>
        <w:pStyle w:val="3"/>
        <w:numPr>
          <w:ilvl w:val="0"/>
          <w:numId w:val="0"/>
        </w:numPr>
        <w:bidi w:val="0"/>
        <w:rPr>
          <w:rFonts w:hint="eastAsia" w:ascii="宋体" w:hAnsi="宋体" w:eastAsia="宋体" w:cs="宋体"/>
          <w:sz w:val="28"/>
          <w:szCs w:val="28"/>
          <w:lang w:val="en-US" w:eastAsia="zh-CN"/>
        </w:rPr>
      </w:pPr>
    </w:p>
    <w:p w14:paraId="2FD8F6CA">
      <w:pPr>
        <w:pStyle w:val="4"/>
        <w:rPr>
          <w:rFonts w:hint="eastAsia" w:ascii="宋体" w:hAnsi="宋体" w:eastAsia="宋体" w:cs="宋体"/>
          <w:sz w:val="28"/>
          <w:szCs w:val="28"/>
          <w:lang w:val="en-US" w:eastAsia="zh-CN"/>
        </w:rPr>
      </w:pPr>
    </w:p>
    <w:p w14:paraId="48CF69A4">
      <w:pPr>
        <w:pStyle w:val="4"/>
        <w:rPr>
          <w:rFonts w:hint="eastAsia" w:ascii="宋体" w:hAnsi="宋体" w:eastAsia="宋体" w:cs="宋体"/>
          <w:sz w:val="28"/>
          <w:szCs w:val="28"/>
          <w:lang w:val="en-US" w:eastAsia="zh-CN"/>
        </w:rPr>
      </w:pPr>
    </w:p>
    <w:p w14:paraId="34D31089">
      <w:pPr>
        <w:pStyle w:val="4"/>
        <w:rPr>
          <w:rFonts w:hint="eastAsia" w:ascii="宋体" w:hAnsi="宋体" w:eastAsia="宋体" w:cs="宋体"/>
          <w:sz w:val="28"/>
          <w:szCs w:val="28"/>
          <w:lang w:val="en-US" w:eastAsia="zh-CN"/>
        </w:rPr>
      </w:pPr>
    </w:p>
    <w:p w14:paraId="24E07AAC">
      <w:pPr>
        <w:pStyle w:val="4"/>
        <w:rPr>
          <w:rFonts w:hint="eastAsia" w:ascii="宋体" w:hAnsi="宋体" w:eastAsia="宋体" w:cs="宋体"/>
          <w:sz w:val="28"/>
          <w:szCs w:val="28"/>
          <w:lang w:val="en-US" w:eastAsia="zh-CN"/>
        </w:rPr>
      </w:pPr>
    </w:p>
    <w:p w14:paraId="245D66C5">
      <w:pPr>
        <w:pStyle w:val="4"/>
        <w:rPr>
          <w:rFonts w:hint="eastAsia" w:ascii="宋体" w:hAnsi="宋体" w:eastAsia="宋体" w:cs="宋体"/>
          <w:sz w:val="28"/>
          <w:szCs w:val="28"/>
          <w:lang w:val="en-US" w:eastAsia="zh-CN"/>
        </w:rPr>
      </w:pPr>
    </w:p>
    <w:p w14:paraId="3C36A2FB">
      <w:pPr>
        <w:pStyle w:val="4"/>
        <w:rPr>
          <w:rFonts w:hint="eastAsia" w:ascii="宋体" w:hAnsi="宋体" w:eastAsia="宋体" w:cs="宋体"/>
          <w:sz w:val="28"/>
          <w:szCs w:val="28"/>
          <w:lang w:val="en-US" w:eastAsia="zh-CN"/>
        </w:rPr>
      </w:pPr>
    </w:p>
    <w:p w14:paraId="132419B6">
      <w:pPr>
        <w:pStyle w:val="3"/>
        <w:numPr>
          <w:ilvl w:val="0"/>
          <w:numId w:val="0"/>
        </w:numPr>
        <w:bidi w:val="0"/>
        <w:rPr>
          <w:rFonts w:hint="eastAsia" w:ascii="宋体" w:hAnsi="宋体" w:eastAsia="宋体" w:cs="宋体"/>
          <w:sz w:val="28"/>
          <w:szCs w:val="28"/>
          <w:lang w:val="en-US" w:eastAsia="zh-CN"/>
        </w:rPr>
      </w:pPr>
    </w:p>
    <w:p w14:paraId="2DDA2DB5">
      <w:pPr>
        <w:pStyle w:val="4"/>
        <w:rPr>
          <w:rFonts w:hint="eastAsia"/>
          <w:lang w:val="en-US" w:eastAsia="zh-CN"/>
        </w:rPr>
      </w:pPr>
    </w:p>
    <w:p w14:paraId="423998DB">
      <w:pPr>
        <w:pStyle w:val="4"/>
        <w:rPr>
          <w:rFonts w:hint="eastAsia" w:ascii="宋体" w:hAnsi="宋体" w:eastAsia="宋体" w:cs="宋体"/>
          <w:sz w:val="28"/>
          <w:szCs w:val="28"/>
          <w:lang w:val="en-US" w:eastAsia="zh-CN"/>
        </w:rPr>
      </w:pPr>
    </w:p>
    <w:p w14:paraId="7DFDA6F8">
      <w:pPr>
        <w:pStyle w:val="4"/>
        <w:rPr>
          <w:rFonts w:hint="eastAsia" w:ascii="宋体" w:hAnsi="宋体" w:eastAsia="宋体" w:cs="宋体"/>
          <w:sz w:val="28"/>
          <w:szCs w:val="28"/>
          <w:lang w:val="en-US" w:eastAsia="zh-CN"/>
        </w:rPr>
      </w:pPr>
    </w:p>
    <w:p w14:paraId="2A8C633F">
      <w:pPr>
        <w:pStyle w:val="3"/>
        <w:numPr>
          <w:ilvl w:val="0"/>
          <w:numId w:val="0"/>
        </w:numPr>
        <w:bidi w:val="0"/>
        <w:rPr>
          <w:rFonts w:hint="eastAsia" w:ascii="宋体" w:hAnsi="宋体" w:eastAsia="宋体" w:cs="宋体"/>
          <w:b w:val="0"/>
          <w:bCs w:val="0"/>
          <w:sz w:val="28"/>
          <w:szCs w:val="28"/>
          <w:lang w:val="en-US" w:eastAsia="zh-CN"/>
        </w:rPr>
      </w:pPr>
      <w:r>
        <w:rPr>
          <w:rFonts w:hint="eastAsia" w:ascii="宋体" w:hAnsi="宋体" w:cs="宋体"/>
          <w:b w:val="0"/>
          <w:bCs w:val="0"/>
          <w:sz w:val="24"/>
          <w:szCs w:val="24"/>
          <w:lang w:val="en-US" w:eastAsia="zh-CN"/>
        </w:rPr>
        <w:t xml:space="preserve">图1 </w:t>
      </w:r>
      <w:r>
        <w:rPr>
          <w:rFonts w:hint="eastAsia" w:ascii="宋体" w:hAnsi="宋体" w:eastAsia="宋体" w:cs="宋体"/>
          <w:b w:val="0"/>
          <w:bCs w:val="0"/>
          <w:sz w:val="24"/>
          <w:szCs w:val="24"/>
          <w:lang w:val="en-US" w:eastAsia="zh-CN"/>
        </w:rPr>
        <w:t>检查流程图</w:t>
      </w:r>
    </w:p>
    <w:p w14:paraId="4225E38B">
      <w:pPr>
        <w:spacing w:line="360" w:lineRule="auto"/>
        <w:rPr>
          <w:sz w:val="24"/>
        </w:rPr>
      </w:pPr>
    </w:p>
    <w:p w14:paraId="3C8E709B">
      <w:pPr>
        <w:spacing w:line="360" w:lineRule="auto"/>
        <w:rPr>
          <w:sz w:val="24"/>
        </w:rPr>
      </w:pPr>
    </w:p>
    <w:p w14:paraId="41BD329C">
      <w:pPr>
        <w:spacing w:line="360" w:lineRule="auto"/>
        <w:rPr>
          <w:sz w:val="24"/>
        </w:rPr>
      </w:pPr>
      <w:r>
        <w:rPr>
          <w:sz w:val="24"/>
        </w:rPr>
        <mc:AlternateContent>
          <mc:Choice Requires="wpg">
            <w:drawing>
              <wp:anchor distT="0" distB="0" distL="114300" distR="114300" simplePos="0" relativeHeight="251663360" behindDoc="0" locked="0" layoutInCell="1" allowOverlap="1">
                <wp:simplePos x="0" y="0"/>
                <wp:positionH relativeFrom="column">
                  <wp:posOffset>-268605</wp:posOffset>
                </wp:positionH>
                <wp:positionV relativeFrom="paragraph">
                  <wp:posOffset>25400</wp:posOffset>
                </wp:positionV>
                <wp:extent cx="5819775" cy="6550025"/>
                <wp:effectExtent l="4445" t="4445" r="5080" b="17780"/>
                <wp:wrapNone/>
                <wp:docPr id="110" name="组合 110"/>
                <wp:cNvGraphicFramePr/>
                <a:graphic xmlns:a="http://schemas.openxmlformats.org/drawingml/2006/main">
                  <a:graphicData uri="http://schemas.microsoft.com/office/word/2010/wordprocessingGroup">
                    <wpg:wgp>
                      <wpg:cNvGrpSpPr/>
                      <wpg:grpSpPr>
                        <a:xfrm>
                          <a:off x="0" y="0"/>
                          <a:ext cx="5819775" cy="6550025"/>
                          <a:chOff x="1994" y="123761"/>
                          <a:chExt cx="9165" cy="10315"/>
                        </a:xfrm>
                      </wpg:grpSpPr>
                      <wpg:grpSp>
                        <wpg:cNvPr id="108" name="组合 108"/>
                        <wpg:cNvGrpSpPr/>
                        <wpg:grpSpPr>
                          <a:xfrm>
                            <a:off x="1994" y="123761"/>
                            <a:ext cx="9165" cy="10315"/>
                            <a:chOff x="10375" y="123761"/>
                            <a:chExt cx="9165" cy="10315"/>
                          </a:xfrm>
                        </wpg:grpSpPr>
                        <wpg:grpSp>
                          <wpg:cNvPr id="104" name="组合 104"/>
                          <wpg:cNvGrpSpPr/>
                          <wpg:grpSpPr>
                            <a:xfrm>
                              <a:off x="10375" y="123761"/>
                              <a:ext cx="9165" cy="10315"/>
                              <a:chOff x="10219" y="122375"/>
                              <a:chExt cx="9165" cy="10315"/>
                            </a:xfrm>
                          </wpg:grpSpPr>
                          <wps:wsp>
                            <wps:cNvPr id="88" name="直接箭头连接符 88"/>
                            <wps:cNvCnPr/>
                            <wps:spPr>
                              <a:xfrm flipH="1">
                                <a:off x="16146" y="124291"/>
                                <a:ext cx="1653" cy="3"/>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anchor="ctr" anchorCtr="0"/>
                          </wps:wsp>
                          <wps:wsp>
                            <wps:cNvPr id="3" name="文本框 3"/>
                            <wps:cNvSpPr txBox="1"/>
                            <wps:spPr>
                              <a:xfrm>
                                <a:off x="13130" y="122375"/>
                                <a:ext cx="3028" cy="610"/>
                              </a:xfrm>
                              <a:prstGeom prst="roundRect">
                                <a:avLst/>
                              </a:prstGeom>
                              <a:solidFill>
                                <a:schemeClr val="bg2">
                                  <a:lumMod val="9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9BFEC89">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eastAsia" w:ascii="微软雅黑 Light" w:hAnsi="微软雅黑 Light" w:eastAsia="微软雅黑 Light" w:cs="微软雅黑 Light"/>
                                      <w:color w:val="auto"/>
                                      <w:kern w:val="0"/>
                                      <w:sz w:val="24"/>
                                      <w:szCs w:val="24"/>
                                      <w:highlight w:val="none"/>
                                      <w:lang w:val="en-US" w:eastAsia="zh-CN"/>
                                    </w:rPr>
                                  </w:pPr>
                                  <w:r>
                                    <w:rPr>
                                      <w:rFonts w:hint="eastAsia" w:ascii="微软雅黑 Light" w:hAnsi="微软雅黑 Light" w:eastAsia="微软雅黑 Light" w:cs="微软雅黑 Light"/>
                                      <w:color w:val="auto"/>
                                      <w:kern w:val="0"/>
                                      <w:sz w:val="24"/>
                                      <w:szCs w:val="24"/>
                                      <w:highlight w:val="none"/>
                                      <w:lang w:val="en-US" w:eastAsia="zh-CN"/>
                                    </w:rPr>
                                    <w:t>第三方安全技术检查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文本框 5"/>
                            <wps:cNvSpPr txBox="1"/>
                            <wps:spPr>
                              <a:xfrm>
                                <a:off x="16392" y="123163"/>
                                <a:ext cx="1485" cy="629"/>
                              </a:xfrm>
                              <a:prstGeom prst="rect">
                                <a:avLst/>
                              </a:prstGeom>
                              <a:solidFill>
                                <a:schemeClr val="accent1">
                                  <a:lumMod val="40000"/>
                                  <a:lumOff val="6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2352172">
                                  <w:pPr>
                                    <w:spacing w:line="240" w:lineRule="auto"/>
                                    <w:rPr>
                                      <w:rFonts w:hint="default" w:eastAsiaTheme="minorEastAsia"/>
                                      <w:sz w:val="18"/>
                                      <w:szCs w:val="18"/>
                                      <w:lang w:val="en-US" w:eastAsia="zh-CN"/>
                                    </w:rPr>
                                  </w:pPr>
                                  <w:r>
                                    <w:rPr>
                                      <w:rFonts w:hint="eastAsia" w:ascii="仿宋_GB2312" w:hAnsi="仿宋_GB2312" w:eastAsia="仿宋_GB2312" w:cs="仿宋_GB2312"/>
                                      <w:sz w:val="18"/>
                                      <w:szCs w:val="18"/>
                                      <w:lang w:val="en-US" w:eastAsia="zh-CN"/>
                                    </w:rPr>
                                    <w:t>提前一天通知受检单位</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 name="文本框 20"/>
                            <wps:cNvSpPr txBox="1"/>
                            <wps:spPr>
                              <a:xfrm>
                                <a:off x="15787" y="125917"/>
                                <a:ext cx="3073" cy="608"/>
                              </a:xfrm>
                              <a:prstGeom prst="roundRect">
                                <a:avLst/>
                              </a:prstGeom>
                              <a:solidFill>
                                <a:schemeClr val="bg2">
                                  <a:lumMod val="9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2400BE7">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eastAsia"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现场审阅资料和检查设备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 name="直接箭头连接符 1"/>
                            <wps:cNvCnPr>
                              <a:stCxn id="3" idx="2"/>
                              <a:endCxn id="37" idx="0"/>
                            </wps:cNvCnPr>
                            <wps:spPr>
                              <a:xfrm>
                                <a:off x="14644" y="122985"/>
                                <a:ext cx="7" cy="100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anchor="ctr" anchorCtr="0"/>
                          </wps:wsp>
                          <wps:wsp>
                            <wps:cNvPr id="27" name="文本框 27"/>
                            <wps:cNvSpPr txBox="1"/>
                            <wps:spPr>
                              <a:xfrm>
                                <a:off x="17118" y="123995"/>
                                <a:ext cx="1650" cy="611"/>
                              </a:xfrm>
                              <a:prstGeom prst="rect">
                                <a:avLst/>
                              </a:prstGeom>
                              <a:solidFill>
                                <a:schemeClr val="accent1">
                                  <a:lumMod val="40000"/>
                                  <a:lumOff val="6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E0C3406">
                                  <w:pPr>
                                    <w:spacing w:line="240" w:lineRule="auto"/>
                                    <w:rPr>
                                      <w:rFonts w:hint="default" w:ascii="仿宋_GB2312" w:hAnsi="仿宋_GB2312" w:cs="仿宋_GB2312"/>
                                      <w:sz w:val="18"/>
                                      <w:szCs w:val="18"/>
                                      <w:lang w:val="en-US" w:eastAsia="zh-CN"/>
                                    </w:rPr>
                                  </w:pPr>
                                  <w:r>
                                    <w:rPr>
                                      <w:rFonts w:hint="eastAsia" w:ascii="仿宋_GB2312" w:hAnsi="仿宋_GB2312" w:cs="仿宋_GB2312"/>
                                      <w:sz w:val="18"/>
                                      <w:szCs w:val="18"/>
                                      <w:lang w:val="en-US" w:eastAsia="zh-CN"/>
                                    </w:rPr>
                                    <w:t>受检单位提供资料和人员配合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 name="文本框 37"/>
                            <wps:cNvSpPr txBox="1"/>
                            <wps:spPr>
                              <a:xfrm>
                                <a:off x="13127" y="123990"/>
                                <a:ext cx="3048" cy="608"/>
                              </a:xfrm>
                              <a:prstGeom prst="roundRect">
                                <a:avLst/>
                              </a:prstGeom>
                              <a:solidFill>
                                <a:schemeClr val="bg2">
                                  <a:lumMod val="9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F37CC8B">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微软雅黑 Light" w:hAnsi="微软雅黑 Light" w:eastAsia="微软雅黑 Light" w:cs="微软雅黑 Light"/>
                                      <w:color w:val="auto"/>
                                      <w:kern w:val="0"/>
                                      <w:sz w:val="24"/>
                                      <w:szCs w:val="24"/>
                                      <w:lang w:val="en-US" w:eastAsia="zh-CN"/>
                                    </w:rPr>
                                  </w:pPr>
                                  <w:r>
                                    <w:rPr>
                                      <w:rFonts w:hint="eastAsia" w:ascii="微软雅黑 Light" w:hAnsi="微软雅黑 Light" w:eastAsia="微软雅黑 Light" w:cs="微软雅黑 Light"/>
                                      <w:color w:val="auto"/>
                                      <w:kern w:val="0"/>
                                      <w:sz w:val="24"/>
                                      <w:szCs w:val="24"/>
                                      <w:lang w:val="en-US" w:eastAsia="zh-CN"/>
                                    </w:rPr>
                                    <w:t>检查单位对检查条件确认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9" name="直接连接符 39"/>
                            <wps:cNvCnPr/>
                            <wps:spPr>
                              <a:xfrm flipV="1">
                                <a:off x="13294" y="125428"/>
                                <a:ext cx="4031" cy="6"/>
                              </a:xfrm>
                              <a:prstGeom prst="line">
                                <a:avLst/>
                              </a:prstGeom>
                            </wps:spPr>
                            <wps:style>
                              <a:lnRef idx="2">
                                <a:schemeClr val="accent1"/>
                              </a:lnRef>
                              <a:fillRef idx="0">
                                <a:srgbClr val="FFFFFF"/>
                              </a:fillRef>
                              <a:effectRef idx="0">
                                <a:srgbClr val="FFFFFF"/>
                              </a:effectRef>
                              <a:fontRef idx="minor">
                                <a:schemeClr val="tx1"/>
                              </a:fontRef>
                            </wps:style>
                            <wps:bodyPr anchor="ctr" anchorCtr="0"/>
                          </wps:wsp>
                          <wps:wsp>
                            <wps:cNvPr id="40" name="直接箭头连接符 40"/>
                            <wps:cNvCnPr/>
                            <wps:spPr>
                              <a:xfrm>
                                <a:off x="13288" y="125425"/>
                                <a:ext cx="6" cy="517"/>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anchor="ctr" anchorCtr="0"/>
                          </wps:wsp>
                          <wps:wsp>
                            <wps:cNvPr id="41" name="直接箭头连接符 41"/>
                            <wps:cNvCnPr/>
                            <wps:spPr>
                              <a:xfrm flipH="1">
                                <a:off x="17307" y="125425"/>
                                <a:ext cx="2" cy="49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anchor="ctr" anchorCtr="0"/>
                          </wps:wsp>
                          <wps:wsp>
                            <wps:cNvPr id="42" name="文本框 42"/>
                            <wps:cNvSpPr txBox="1"/>
                            <wps:spPr>
                              <a:xfrm>
                                <a:off x="12524" y="125926"/>
                                <a:ext cx="1521" cy="608"/>
                              </a:xfrm>
                              <a:prstGeom prst="roundRect">
                                <a:avLst/>
                              </a:prstGeom>
                              <a:solidFill>
                                <a:schemeClr val="bg2">
                                  <a:lumMod val="9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FC39CFC">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eastAsia"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终止检查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 name="文本框 46"/>
                            <wps:cNvSpPr txBox="1"/>
                            <wps:spPr>
                              <a:xfrm>
                                <a:off x="15789" y="127077"/>
                                <a:ext cx="3073" cy="608"/>
                              </a:xfrm>
                              <a:prstGeom prst="roundRect">
                                <a:avLst/>
                              </a:prstGeom>
                              <a:solidFill>
                                <a:schemeClr val="bg2">
                                  <a:lumMod val="9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0708811">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出具检查结果表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 name="文本框 47"/>
                            <wps:cNvSpPr txBox="1"/>
                            <wps:spPr>
                              <a:xfrm>
                                <a:off x="10386" y="124851"/>
                                <a:ext cx="1638" cy="984"/>
                              </a:xfrm>
                              <a:prstGeom prst="roundRect">
                                <a:avLst/>
                              </a:prstGeom>
                              <a:solidFill>
                                <a:schemeClr val="bg2">
                                  <a:lumMod val="9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2F2C159">
                                  <w:pPr>
                                    <w:keepNext w:val="0"/>
                                    <w:keepLines w:val="0"/>
                                    <w:pageBreakBefore w:val="0"/>
                                    <w:widowControl w:val="0"/>
                                    <w:kinsoku/>
                                    <w:wordWrap/>
                                    <w:overflowPunct/>
                                    <w:topLinePunct w:val="0"/>
                                    <w:bidi w:val="0"/>
                                    <w:adjustRightInd/>
                                    <w:snapToGrid w:val="0"/>
                                    <w:spacing w:line="320" w:lineRule="exact"/>
                                    <w:ind w:firstLine="0" w:firstLineChars="0"/>
                                    <w:jc w:val="center"/>
                                    <w:textAlignment w:val="auto"/>
                                    <w:rPr>
                                      <w:rFonts w:hint="default"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报聘请或委托单位</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 name="文本框 48"/>
                            <wps:cNvSpPr txBox="1"/>
                            <wps:spPr>
                              <a:xfrm>
                                <a:off x="12220" y="128706"/>
                                <a:ext cx="2097" cy="857"/>
                              </a:xfrm>
                              <a:prstGeom prst="roundRect">
                                <a:avLst/>
                              </a:prstGeom>
                              <a:solidFill>
                                <a:schemeClr val="bg2">
                                  <a:lumMod val="9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2960B59">
                                  <w:pPr>
                                    <w:keepNext w:val="0"/>
                                    <w:keepLines w:val="0"/>
                                    <w:pageBreakBefore w:val="0"/>
                                    <w:widowControl w:val="0"/>
                                    <w:kinsoku/>
                                    <w:wordWrap/>
                                    <w:overflowPunct/>
                                    <w:topLinePunct w:val="0"/>
                                    <w:bidi w:val="0"/>
                                    <w:adjustRightInd/>
                                    <w:snapToGrid w:val="0"/>
                                    <w:spacing w:line="320" w:lineRule="exact"/>
                                    <w:ind w:firstLine="0" w:firstLineChars="0"/>
                                    <w:jc w:val="center"/>
                                    <w:textAlignment w:val="auto"/>
                                    <w:rPr>
                                      <w:rFonts w:hint="default"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合格</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文本框 49"/>
                            <wps:cNvSpPr txBox="1"/>
                            <wps:spPr>
                              <a:xfrm>
                                <a:off x="17265" y="128737"/>
                                <a:ext cx="2102" cy="831"/>
                              </a:xfrm>
                              <a:prstGeom prst="roundRect">
                                <a:avLst/>
                              </a:prstGeom>
                              <a:solidFill>
                                <a:schemeClr val="bg2">
                                  <a:lumMod val="9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8FC1FC7">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微软雅黑 Light" w:hAnsi="微软雅黑 Light" w:eastAsia="微软雅黑 Light" w:cs="微软雅黑 Light"/>
                                      <w:color w:val="auto"/>
                                      <w:kern w:val="0"/>
                                      <w:sz w:val="24"/>
                                      <w:szCs w:val="24"/>
                                      <w:highlight w:val="none"/>
                                      <w:lang w:val="en-US" w:eastAsia="zh-CN"/>
                                    </w:rPr>
                                  </w:pPr>
                                  <w:r>
                                    <w:rPr>
                                      <w:rFonts w:hint="eastAsia" w:ascii="微软雅黑 Light" w:hAnsi="微软雅黑 Light" w:eastAsia="微软雅黑 Light" w:cs="微软雅黑 Light"/>
                                      <w:color w:val="auto"/>
                                      <w:kern w:val="0"/>
                                      <w:sz w:val="24"/>
                                      <w:szCs w:val="24"/>
                                      <w:highlight w:val="none"/>
                                      <w:lang w:val="en-US" w:eastAsia="zh-CN"/>
                                    </w:rPr>
                                    <w:t>红线隐患不合格</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1" name="文本框 51"/>
                            <wps:cNvSpPr txBox="1"/>
                            <wps:spPr>
                              <a:xfrm>
                                <a:off x="14660" y="128731"/>
                                <a:ext cx="2097" cy="840"/>
                              </a:xfrm>
                              <a:prstGeom prst="roundRect">
                                <a:avLst/>
                              </a:prstGeom>
                              <a:solidFill>
                                <a:schemeClr val="bg2">
                                  <a:lumMod val="9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5DDDB5F">
                                  <w:pPr>
                                    <w:keepNext w:val="0"/>
                                    <w:keepLines w:val="0"/>
                                    <w:pageBreakBefore w:val="0"/>
                                    <w:widowControl w:val="0"/>
                                    <w:kinsoku/>
                                    <w:wordWrap/>
                                    <w:overflowPunct/>
                                    <w:topLinePunct w:val="0"/>
                                    <w:bidi w:val="0"/>
                                    <w:adjustRightInd/>
                                    <w:snapToGrid w:val="0"/>
                                    <w:spacing w:line="320" w:lineRule="exact"/>
                                    <w:ind w:firstLine="0" w:firstLineChars="0"/>
                                    <w:jc w:val="center"/>
                                    <w:textAlignment w:val="auto"/>
                                    <w:rPr>
                                      <w:rFonts w:hint="default"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其他隐患</w:t>
                                  </w:r>
                                </w:p>
                                <w:p w14:paraId="4012159C">
                                  <w:pPr>
                                    <w:keepNext w:val="0"/>
                                    <w:keepLines w:val="0"/>
                                    <w:pageBreakBefore w:val="0"/>
                                    <w:widowControl w:val="0"/>
                                    <w:kinsoku/>
                                    <w:wordWrap/>
                                    <w:overflowPunct/>
                                    <w:topLinePunct w:val="0"/>
                                    <w:bidi w:val="0"/>
                                    <w:adjustRightInd/>
                                    <w:snapToGrid w:val="0"/>
                                    <w:spacing w:line="320" w:lineRule="exact"/>
                                    <w:ind w:firstLine="0" w:firstLineChars="0"/>
                                    <w:jc w:val="center"/>
                                    <w:textAlignment w:val="auto"/>
                                    <w:rPr>
                                      <w:rFonts w:hint="default"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不合格</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3" name="文本框 53"/>
                            <wps:cNvSpPr txBox="1"/>
                            <wps:spPr>
                              <a:xfrm>
                                <a:off x="17265" y="131961"/>
                                <a:ext cx="2119" cy="729"/>
                              </a:xfrm>
                              <a:prstGeom prst="roundRect">
                                <a:avLst/>
                              </a:prstGeom>
                              <a:solidFill>
                                <a:schemeClr val="bg2">
                                  <a:lumMod val="9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C015810">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立即停用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9" name="直接连接符 59"/>
                            <wps:cNvCnPr/>
                            <wps:spPr>
                              <a:xfrm>
                                <a:off x="13237" y="128229"/>
                                <a:ext cx="4820" cy="0"/>
                              </a:xfrm>
                              <a:prstGeom prst="line">
                                <a:avLst/>
                              </a:prstGeom>
                            </wps:spPr>
                            <wps:style>
                              <a:lnRef idx="2">
                                <a:schemeClr val="accent1"/>
                              </a:lnRef>
                              <a:fillRef idx="0">
                                <a:srgbClr val="FFFFFF"/>
                              </a:fillRef>
                              <a:effectRef idx="0">
                                <a:srgbClr val="FFFFFF"/>
                              </a:effectRef>
                              <a:fontRef idx="minor">
                                <a:schemeClr val="tx1"/>
                              </a:fontRef>
                            </wps:style>
                            <wps:bodyPr anchor="ctr" anchorCtr="0"/>
                          </wps:wsp>
                          <wps:wsp>
                            <wps:cNvPr id="57" name="直接箭头连接符 57"/>
                            <wps:cNvCnPr/>
                            <wps:spPr>
                              <a:xfrm>
                                <a:off x="15678" y="128244"/>
                                <a:ext cx="4" cy="489"/>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anchor="ctr" anchorCtr="0"/>
                          </wps:wsp>
                          <wps:wsp>
                            <wps:cNvPr id="58" name="直接箭头连接符 58"/>
                            <wps:cNvCnPr/>
                            <wps:spPr>
                              <a:xfrm flipH="1">
                                <a:off x="18059" y="128234"/>
                                <a:ext cx="4" cy="56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anchor="ctr" anchorCtr="0"/>
                          </wps:wsp>
                          <wps:wsp>
                            <wps:cNvPr id="60" name="直接箭头连接符 60"/>
                            <wps:cNvCnPr/>
                            <wps:spPr>
                              <a:xfrm flipH="1">
                                <a:off x="13239" y="128249"/>
                                <a:ext cx="3" cy="462"/>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anchor="ctr" anchorCtr="0"/>
                          </wps:wsp>
                          <wps:wsp>
                            <wps:cNvPr id="61" name="文本框 61"/>
                            <wps:cNvSpPr txBox="1"/>
                            <wps:spPr>
                              <a:xfrm>
                                <a:off x="10233" y="126965"/>
                                <a:ext cx="1799" cy="855"/>
                              </a:xfrm>
                              <a:prstGeom prst="roundRect">
                                <a:avLst/>
                              </a:prstGeom>
                              <a:solidFill>
                                <a:schemeClr val="bg2">
                                  <a:lumMod val="9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2C15E99">
                                  <w:pPr>
                                    <w:keepNext w:val="0"/>
                                    <w:keepLines w:val="0"/>
                                    <w:pageBreakBefore w:val="0"/>
                                    <w:widowControl w:val="0"/>
                                    <w:kinsoku/>
                                    <w:wordWrap/>
                                    <w:overflowPunct/>
                                    <w:topLinePunct w:val="0"/>
                                    <w:bidi w:val="0"/>
                                    <w:adjustRightInd/>
                                    <w:snapToGrid w:val="0"/>
                                    <w:spacing w:line="320" w:lineRule="exact"/>
                                    <w:ind w:firstLine="0" w:firstLineChars="0"/>
                                    <w:jc w:val="center"/>
                                    <w:textAlignment w:val="auto"/>
                                    <w:rPr>
                                      <w:rFonts w:hint="default"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出具检查结果表</w:t>
                                  </w:r>
                                </w:p>
                                <w:p w14:paraId="76FCA384">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微软雅黑 Light" w:hAnsi="微软雅黑 Light" w:eastAsia="微软雅黑 Light" w:cs="微软雅黑 Light"/>
                                      <w:kern w:val="0"/>
                                      <w:sz w:val="24"/>
                                      <w:szCs w:val="24"/>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2" name="文本框 62"/>
                            <wps:cNvSpPr txBox="1"/>
                            <wps:spPr>
                              <a:xfrm>
                                <a:off x="12327" y="130482"/>
                                <a:ext cx="2141" cy="624"/>
                              </a:xfrm>
                              <a:prstGeom prst="roundRect">
                                <a:avLst/>
                              </a:prstGeom>
                              <a:solidFill>
                                <a:schemeClr val="bg2">
                                  <a:lumMod val="9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1554757">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微软雅黑 Light" w:hAnsi="微软雅黑 Light" w:eastAsia="微软雅黑 Light" w:cs="微软雅黑 Light"/>
                                      <w:color w:val="auto"/>
                                      <w:kern w:val="0"/>
                                      <w:sz w:val="24"/>
                                      <w:szCs w:val="24"/>
                                      <w:highlight w:val="none"/>
                                      <w:lang w:val="en-US" w:eastAsia="zh-CN"/>
                                    </w:rPr>
                                  </w:pPr>
                                  <w:r>
                                    <w:rPr>
                                      <w:rFonts w:hint="eastAsia" w:ascii="微软雅黑 Light" w:hAnsi="微软雅黑 Light" w:eastAsia="微软雅黑 Light" w:cs="微软雅黑 Light"/>
                                      <w:color w:val="auto"/>
                                      <w:kern w:val="0"/>
                                      <w:sz w:val="24"/>
                                      <w:szCs w:val="24"/>
                                      <w:highlight w:val="none"/>
                                      <w:lang w:val="en-US" w:eastAsia="zh-CN"/>
                                    </w:rPr>
                                    <w:t>监护使用、整改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4" name="直接箭头连接符 64"/>
                            <wps:cNvCnPr>
                              <a:endCxn id="69" idx="3"/>
                            </wps:cNvCnPr>
                            <wps:spPr>
                              <a:xfrm flipH="1">
                                <a:off x="13953" y="132386"/>
                                <a:ext cx="3184" cy="11"/>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anchor="ctr" anchorCtr="0"/>
                          </wps:wsp>
                          <wps:wsp>
                            <wps:cNvPr id="68" name="文本框 68"/>
                            <wps:cNvSpPr txBox="1"/>
                            <wps:spPr>
                              <a:xfrm>
                                <a:off x="10219" y="129798"/>
                                <a:ext cx="1601" cy="1947"/>
                              </a:xfrm>
                              <a:prstGeom prst="roundRect">
                                <a:avLst/>
                              </a:prstGeom>
                              <a:solidFill>
                                <a:schemeClr val="bg2">
                                  <a:lumMod val="9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1188ECA">
                                  <w:pPr>
                                    <w:keepNext w:val="0"/>
                                    <w:keepLines w:val="0"/>
                                    <w:pageBreakBefore w:val="0"/>
                                    <w:widowControl w:val="0"/>
                                    <w:kinsoku/>
                                    <w:wordWrap/>
                                    <w:overflowPunct/>
                                    <w:topLinePunct w:val="0"/>
                                    <w:bidi w:val="0"/>
                                    <w:adjustRightInd/>
                                    <w:snapToGrid w:val="0"/>
                                    <w:spacing w:line="320" w:lineRule="exact"/>
                                    <w:ind w:firstLine="0" w:firstLineChars="0"/>
                                    <w:jc w:val="center"/>
                                    <w:textAlignment w:val="auto"/>
                                    <w:rPr>
                                      <w:rFonts w:hint="default"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按聘请或委托单位要求进行整改确认封闭</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0" name="文本框 70"/>
                            <wps:cNvSpPr txBox="1"/>
                            <wps:spPr>
                              <a:xfrm>
                                <a:off x="12521" y="126949"/>
                                <a:ext cx="1601" cy="888"/>
                              </a:xfrm>
                              <a:prstGeom prst="roundRect">
                                <a:avLst/>
                              </a:prstGeom>
                              <a:solidFill>
                                <a:schemeClr val="bg2">
                                  <a:lumMod val="9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0331B7F">
                                  <w:pPr>
                                    <w:keepNext w:val="0"/>
                                    <w:keepLines w:val="0"/>
                                    <w:pageBreakBefore w:val="0"/>
                                    <w:widowControl w:val="0"/>
                                    <w:kinsoku/>
                                    <w:wordWrap/>
                                    <w:overflowPunct/>
                                    <w:topLinePunct w:val="0"/>
                                    <w:bidi w:val="0"/>
                                    <w:adjustRightInd/>
                                    <w:snapToGrid w:val="0"/>
                                    <w:spacing w:line="320" w:lineRule="exact"/>
                                    <w:ind w:firstLine="0" w:firstLineChars="0"/>
                                    <w:jc w:val="center"/>
                                    <w:textAlignment w:val="auto"/>
                                    <w:rPr>
                                      <w:rFonts w:hint="eastAsia"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受检单位</w:t>
                                  </w:r>
                                </w:p>
                                <w:p w14:paraId="57CD5A75">
                                  <w:pPr>
                                    <w:keepNext w:val="0"/>
                                    <w:keepLines w:val="0"/>
                                    <w:pageBreakBefore w:val="0"/>
                                    <w:widowControl w:val="0"/>
                                    <w:kinsoku/>
                                    <w:wordWrap/>
                                    <w:overflowPunct/>
                                    <w:topLinePunct w:val="0"/>
                                    <w:bidi w:val="0"/>
                                    <w:adjustRightInd/>
                                    <w:snapToGrid w:val="0"/>
                                    <w:spacing w:line="320" w:lineRule="exact"/>
                                    <w:ind w:firstLine="0" w:firstLineChars="0"/>
                                    <w:jc w:val="center"/>
                                    <w:textAlignment w:val="auto"/>
                                    <w:rPr>
                                      <w:rFonts w:hint="default"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签字确认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4" name="直接连接符 74"/>
                            <wps:cNvCnPr>
                              <a:stCxn id="37" idx="2"/>
                            </wps:cNvCnPr>
                            <wps:spPr>
                              <a:xfrm>
                                <a:off x="14651" y="124598"/>
                                <a:ext cx="6" cy="832"/>
                              </a:xfrm>
                              <a:prstGeom prst="line">
                                <a:avLst/>
                              </a:prstGeom>
                            </wps:spPr>
                            <wps:style>
                              <a:lnRef idx="2">
                                <a:schemeClr val="accent1"/>
                              </a:lnRef>
                              <a:fillRef idx="0">
                                <a:srgbClr val="FFFFFF"/>
                              </a:fillRef>
                              <a:effectRef idx="0">
                                <a:srgbClr val="FFFFFF"/>
                              </a:effectRef>
                              <a:fontRef idx="minor">
                                <a:schemeClr val="tx1"/>
                              </a:fontRef>
                            </wps:style>
                            <wps:bodyPr anchor="ctr" anchorCtr="0"/>
                          </wps:wsp>
                          <wps:wsp>
                            <wps:cNvPr id="76" name="直接箭头连接符 76"/>
                            <wps:cNvCnPr>
                              <a:endCxn id="70" idx="3"/>
                            </wps:cNvCnPr>
                            <wps:spPr>
                              <a:xfrm flipH="1">
                                <a:off x="14122" y="127390"/>
                                <a:ext cx="1653" cy="3"/>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anchor="ctr" anchorCtr="0"/>
                          </wps:wsp>
                          <wps:wsp>
                            <wps:cNvPr id="79" name="直接箭头连接符 79"/>
                            <wps:cNvCnPr/>
                            <wps:spPr>
                              <a:xfrm flipH="1">
                                <a:off x="11819" y="130780"/>
                                <a:ext cx="505" cy="1"/>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anchor="ctr" anchorCtr="0"/>
                          </wps:wsp>
                          <wps:wsp>
                            <wps:cNvPr id="80" name="直接箭头连接符 80"/>
                            <wps:cNvCnPr/>
                            <wps:spPr>
                              <a:xfrm flipH="1">
                                <a:off x="12006" y="127400"/>
                                <a:ext cx="508" cy="1"/>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anchor="ctr" anchorCtr="0"/>
                          </wps:wsp>
                          <wps:wsp>
                            <wps:cNvPr id="81" name="文本框 81"/>
                            <wps:cNvSpPr txBox="1"/>
                            <wps:spPr>
                              <a:xfrm>
                                <a:off x="12977" y="125004"/>
                                <a:ext cx="1597" cy="353"/>
                              </a:xfrm>
                              <a:prstGeom prst="rect">
                                <a:avLst/>
                              </a:prstGeom>
                              <a:solidFill>
                                <a:schemeClr val="accent1">
                                  <a:lumMod val="40000"/>
                                  <a:lumOff val="6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6BD172F">
                                  <w:pPr>
                                    <w:spacing w:line="240" w:lineRule="auto"/>
                                    <w:rPr>
                                      <w:rFonts w:hint="default" w:ascii="仿宋_GB2312" w:hAnsi="仿宋_GB2312" w:cs="仿宋_GB2312"/>
                                      <w:sz w:val="18"/>
                                      <w:szCs w:val="18"/>
                                      <w:lang w:val="en-US" w:eastAsia="zh-CN"/>
                                    </w:rPr>
                                  </w:pPr>
                                  <w:r>
                                    <w:rPr>
                                      <w:rFonts w:hint="eastAsia" w:ascii="仿宋_GB2312" w:hAnsi="仿宋_GB2312" w:cs="仿宋_GB2312"/>
                                      <w:sz w:val="18"/>
                                      <w:szCs w:val="18"/>
                                      <w:lang w:val="en-US" w:eastAsia="zh-CN"/>
                                    </w:rPr>
                                    <w:t>受检条件不符合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2" name="文本框 82"/>
                            <wps:cNvSpPr txBox="1"/>
                            <wps:spPr>
                              <a:xfrm>
                                <a:off x="15289" y="124996"/>
                                <a:ext cx="1470" cy="371"/>
                              </a:xfrm>
                              <a:prstGeom prst="rect">
                                <a:avLst/>
                              </a:prstGeom>
                              <a:solidFill>
                                <a:schemeClr val="accent1">
                                  <a:lumMod val="40000"/>
                                  <a:lumOff val="6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4ADCDF9">
                                  <w:pPr>
                                    <w:spacing w:line="240" w:lineRule="auto"/>
                                    <w:rPr>
                                      <w:rFonts w:hint="default" w:ascii="仿宋_GB2312" w:hAnsi="仿宋_GB2312" w:cs="仿宋_GB2312"/>
                                      <w:sz w:val="18"/>
                                      <w:szCs w:val="18"/>
                                      <w:lang w:val="en-US" w:eastAsia="zh-CN"/>
                                    </w:rPr>
                                  </w:pPr>
                                  <w:r>
                                    <w:rPr>
                                      <w:rFonts w:hint="eastAsia" w:ascii="仿宋_GB2312" w:hAnsi="仿宋_GB2312" w:cs="仿宋_GB2312"/>
                                      <w:sz w:val="18"/>
                                      <w:szCs w:val="18"/>
                                      <w:lang w:val="en-US" w:eastAsia="zh-CN"/>
                                    </w:rPr>
                                    <w:t>受检条件符合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6" name="直接箭头连接符 86"/>
                            <wps:cNvCnPr/>
                            <wps:spPr>
                              <a:xfrm flipV="1">
                                <a:off x="11151" y="125828"/>
                                <a:ext cx="13" cy="1097"/>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anchor="ctr" anchorCtr="0"/>
                          </wps:wsp>
                          <wps:wsp>
                            <wps:cNvPr id="87" name="直接箭头连接符 87"/>
                            <wps:cNvCnPr>
                              <a:stCxn id="5" idx="1"/>
                            </wps:cNvCnPr>
                            <wps:spPr>
                              <a:xfrm flipH="1" flipV="1">
                                <a:off x="14644" y="123474"/>
                                <a:ext cx="1748" cy="4"/>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anchor="ctr" anchorCtr="0"/>
                          </wps:wsp>
                        </wpg:grpSp>
                        <wps:wsp>
                          <wps:cNvPr id="105" name="直接连接符 105"/>
                          <wps:cNvCnPr>
                            <a:stCxn id="46" idx="2"/>
                          </wps:cNvCnPr>
                          <wps:spPr>
                            <a:xfrm flipH="1">
                              <a:off x="17479" y="129071"/>
                              <a:ext cx="3" cy="537"/>
                            </a:xfrm>
                            <a:prstGeom prst="line">
                              <a:avLst/>
                            </a:prstGeom>
                          </wps:spPr>
                          <wps:style>
                            <a:lnRef idx="2">
                              <a:schemeClr val="accent1"/>
                            </a:lnRef>
                            <a:fillRef idx="0">
                              <a:srgbClr val="FFFFFF"/>
                            </a:fillRef>
                            <a:effectRef idx="0">
                              <a:srgbClr val="FFFFFF"/>
                            </a:effectRef>
                            <a:fontRef idx="minor">
                              <a:schemeClr val="tx1"/>
                            </a:fontRef>
                          </wps:style>
                          <wps:bodyPr anchor="ctr" anchorCtr="0"/>
                        </wps:wsp>
                        <wps:wsp>
                          <wps:cNvPr id="106" name="直接连接符 106"/>
                          <wps:cNvCnPr>
                            <a:stCxn id="42" idx="1"/>
                          </wps:cNvCnPr>
                          <wps:spPr>
                            <a:xfrm flipH="1" flipV="1">
                              <a:off x="11590" y="127611"/>
                              <a:ext cx="1090" cy="5"/>
                            </a:xfrm>
                            <a:prstGeom prst="line">
                              <a:avLst/>
                            </a:prstGeom>
                          </wps:spPr>
                          <wps:style>
                            <a:lnRef idx="2">
                              <a:schemeClr val="accent1"/>
                            </a:lnRef>
                            <a:fillRef idx="0">
                              <a:srgbClr val="FFFFFF"/>
                            </a:fillRef>
                            <a:effectRef idx="0">
                              <a:srgbClr val="FFFFFF"/>
                            </a:effectRef>
                            <a:fontRef idx="minor">
                              <a:schemeClr val="tx1"/>
                            </a:fontRef>
                          </wps:style>
                          <wps:bodyPr anchor="ctr" anchorCtr="0"/>
                        </wps:wsp>
                        <wps:wsp>
                          <wps:cNvPr id="107" name="直接箭头连接符 107"/>
                          <wps:cNvCnPr/>
                          <wps:spPr>
                            <a:xfrm>
                              <a:off x="11615" y="127611"/>
                              <a:ext cx="8" cy="77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anchor="ctr" anchorCtr="0"/>
                        </wps:wsp>
                      </wpg:grpSp>
                      <wps:wsp>
                        <wps:cNvPr id="109" name="直接箭头连接符 109"/>
                        <wps:cNvCnPr>
                          <a:endCxn id="62" idx="2"/>
                        </wps:cNvCnPr>
                        <wps:spPr>
                          <a:xfrm flipV="1">
                            <a:off x="5171" y="132492"/>
                            <a:ext cx="2" cy="981"/>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anchor="ctr" anchorCtr="0"/>
                      </wps:wsp>
                    </wpg:wgp>
                  </a:graphicData>
                </a:graphic>
              </wp:anchor>
            </w:drawing>
          </mc:Choice>
          <mc:Fallback>
            <w:pict>
              <v:group id="_x0000_s1026" o:spid="_x0000_s1026" o:spt="203" style="position:absolute;left:0pt;margin-left:-21.15pt;margin-top:2pt;height:515.75pt;width:458.25pt;z-index:251663360;mso-width-relative:page;mso-height-relative:page;" coordorigin="1994,123761" coordsize="9165,10315" o:gfxdata="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">
                <o:lock v:ext="edit" aspectratio="f"/>
                <v:group id="_x0000_s1026" o:spid="_x0000_s1026" o:spt="203" style="position:absolute;left:1994;top:123761;height:10315;width:9165;" coordorigin="10375,123761" coordsize="9165,10315" o:gfxdata="UEsDBAoAAAAAAIdO4kAAAAAAAAAAAAAAAAAEAAAAZHJzL1BLAwQUAAAACACHTuJAc+yR17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t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z7JHX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10375;top:123761;height:10315;width:9165;" coordorigin="10219,122375" coordsize="9165,10315" o:gfxdata="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yoZvSvAAAANwAAAAPAAAAAAAAAAEAIAAAACIAAABkcnMvZG93bnJldi54bWxQ&#10;SwECFAAUAAAACACHTuJAMy8FnjsAAAA5AAAAFQAAAAAAAAABACAAAAALAQAAZHJzL2dyb3Vwc2hh&#10;cGV4bWwueG1sUEsFBgAAAAAGAAYAYAEAAMgDAAAAAA==&#10;">
                    <o:lock v:ext="edit" aspectratio="f"/>
                    <v:shape id="_x0000_s1026" o:spid="_x0000_s1026" o:spt="32" type="#_x0000_t32" style="position:absolute;left:16146;top:124291;flip:x;height:3;width:1653;" filled="f" stroked="t" coordsize="21600,21600" o:gfxdata="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4QjS+2AAAA2wAAAA8A&#10;AAAAAAAAAQAgAAAAIgAAAGRycy9kb3ducmV2LnhtbFBLAQIUABQAAAAIAIdO4kAzLwWeOwAAADkA&#10;AAAQAAAAAAAAAAEAIAAAAAUBAABkcnMvc2hhcGV4bWwueG1sUEsFBgAAAAAGAAYAWwEAAK8DAAAA&#10;AA==&#10;">
                      <v:fill on="f" focussize="0,0"/>
                      <v:stroke weight="1pt" color="#5B9BD5 [3204]" miterlimit="8" joinstyle="miter" endarrow="open"/>
                      <v:imagedata o:title=""/>
                      <o:lock v:ext="edit" aspectratio="f"/>
                    </v:shape>
                    <v:roundrect id="_x0000_s1026" o:spid="_x0000_s1026" o:spt="2" style="position:absolute;left:13130;top:122375;height:610;width:3028;v-text-anchor:middle;" fillcolor="#D0CECE [2894]" filled="t" stroked="t" coordsize="21600,21600" arcsize="0.166666666666667" o:gfxdata="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oLbl7gAAADa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14:paraId="69BFEC89">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eastAsia" w:ascii="微软雅黑 Light" w:hAnsi="微软雅黑 Light" w:eastAsia="微软雅黑 Light" w:cs="微软雅黑 Light"/>
                                <w:color w:val="auto"/>
                                <w:kern w:val="0"/>
                                <w:sz w:val="24"/>
                                <w:szCs w:val="24"/>
                                <w:highlight w:val="none"/>
                                <w:lang w:val="en-US" w:eastAsia="zh-CN"/>
                              </w:rPr>
                            </w:pPr>
                            <w:r>
                              <w:rPr>
                                <w:rFonts w:hint="eastAsia" w:ascii="微软雅黑 Light" w:hAnsi="微软雅黑 Light" w:eastAsia="微软雅黑 Light" w:cs="微软雅黑 Light"/>
                                <w:color w:val="auto"/>
                                <w:kern w:val="0"/>
                                <w:sz w:val="24"/>
                                <w:szCs w:val="24"/>
                                <w:highlight w:val="none"/>
                                <w:lang w:val="en-US" w:eastAsia="zh-CN"/>
                              </w:rPr>
                              <w:t>第三方安全技术检查</w:t>
                            </w:r>
                          </w:p>
                        </w:txbxContent>
                      </v:textbox>
                    </v:roundrect>
                    <v:shape id="_x0000_s1026" o:spid="_x0000_s1026" o:spt="202" type="#_x0000_t202" style="position:absolute;left:16392;top:123163;height:629;width:1485;v-text-anchor:middle;" fillcolor="#BDD7EE [1300]" filled="t" stroked="t" coordsize="21600,21600" o:gfxdata="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eTlRb4A&#10;AADaAAAADwAAAAAAAAABACAAAAAiAAAAZHJzL2Rvd25yZXYueG1sUEsBAhQAFAAAAAgAh07iQDMv&#10;BZ47AAAAOQAAABAAAAAAAAAAAQAgAAAADQEAAGRycy9zaGFwZXhtbC54bWxQSwUGAAAAAAYABgBb&#10;AQAAtwMAAAAA&#10;">
                      <v:fill on="t" focussize="0,0"/>
                      <v:stroke weight="0.5pt" color="#000000 [3204]" joinstyle="round"/>
                      <v:imagedata o:title=""/>
                      <o:lock v:ext="edit" aspectratio="f"/>
                      <v:textbox>
                        <w:txbxContent>
                          <w:p w14:paraId="72352172">
                            <w:pPr>
                              <w:spacing w:line="240" w:lineRule="auto"/>
                              <w:rPr>
                                <w:rFonts w:hint="default" w:eastAsiaTheme="minorEastAsia"/>
                                <w:sz w:val="18"/>
                                <w:szCs w:val="18"/>
                                <w:lang w:val="en-US" w:eastAsia="zh-CN"/>
                              </w:rPr>
                            </w:pPr>
                            <w:r>
                              <w:rPr>
                                <w:rFonts w:hint="eastAsia" w:ascii="仿宋_GB2312" w:hAnsi="仿宋_GB2312" w:eastAsia="仿宋_GB2312" w:cs="仿宋_GB2312"/>
                                <w:sz w:val="18"/>
                                <w:szCs w:val="18"/>
                                <w:lang w:val="en-US" w:eastAsia="zh-CN"/>
                              </w:rPr>
                              <w:t>提前一天通知受检单位</w:t>
                            </w:r>
                          </w:p>
                        </w:txbxContent>
                      </v:textbox>
                    </v:shape>
                    <v:roundrect id="_x0000_s1026" o:spid="_x0000_s1026" o:spt="2" style="position:absolute;left:15787;top:125917;height:608;width:3073;v-text-anchor:middle;" fillcolor="#D0CECE [2894]" filled="t" stroked="t" coordsize="21600,21600" arcsize="0.166666666666667" o:gfxdata="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YlOBhL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32400BE7">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eastAsia"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现场审阅资料和检查设备</w:t>
                            </w:r>
                          </w:p>
                        </w:txbxContent>
                      </v:textbox>
                    </v:roundrect>
                    <v:shape id="_x0000_s1026" o:spid="_x0000_s1026" o:spt="32" type="#_x0000_t32" style="position:absolute;left:14644;top:122985;height:1005;width:7;" filled="f" stroked="t" coordsize="21600,21600" o:gfxdata="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9MKIbsAAADa&#10;AAAADwAAAAAAAAABACAAAAAiAAAAZHJzL2Rvd25yZXYueG1sUEsBAhQAFAAAAAgAh07iQDMvBZ47&#10;AAAAOQAAABAAAAAAAAAAAQAgAAAACgEAAGRycy9zaGFwZXhtbC54bWxQSwUGAAAAAAYABgBbAQAA&#10;tAMAAAAA&#10;">
                      <v:fill on="f" focussize="0,0"/>
                      <v:stroke weight="1pt" color="#5B9BD5 [3204]" miterlimit="8" joinstyle="miter" endarrow="open"/>
                      <v:imagedata o:title=""/>
                      <o:lock v:ext="edit" aspectratio="f"/>
                    </v:shape>
                    <v:shape id="_x0000_s1026" o:spid="_x0000_s1026" o:spt="202" type="#_x0000_t202" style="position:absolute;left:17118;top:123995;height:611;width:1650;v-text-anchor:middle;" fillcolor="#BDD7EE [1300]" filled="t" stroked="t" coordsize="21600,21600" o:gfxdata="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NWJt2/&#10;AAAA2wAAAA8AAAAAAAAAAQAgAAAAIgAAAGRycy9kb3ducmV2LnhtbFBLAQIUABQAAAAIAIdO4kAz&#10;LwWeOwAAADkAAAAQAAAAAAAAAAEAIAAAAA4BAABkcnMvc2hhcGV4bWwueG1sUEsFBgAAAAAGAAYA&#10;WwEAALgDAAAAAA==&#10;">
                      <v:fill on="t" focussize="0,0"/>
                      <v:stroke weight="0.5pt" color="#000000 [3204]" joinstyle="round"/>
                      <v:imagedata o:title=""/>
                      <o:lock v:ext="edit" aspectratio="f"/>
                      <v:textbox>
                        <w:txbxContent>
                          <w:p w14:paraId="0E0C3406">
                            <w:pPr>
                              <w:spacing w:line="240" w:lineRule="auto"/>
                              <w:rPr>
                                <w:rFonts w:hint="default" w:ascii="仿宋_GB2312" w:hAnsi="仿宋_GB2312" w:cs="仿宋_GB2312"/>
                                <w:sz w:val="18"/>
                                <w:szCs w:val="18"/>
                                <w:lang w:val="en-US" w:eastAsia="zh-CN"/>
                              </w:rPr>
                            </w:pPr>
                            <w:r>
                              <w:rPr>
                                <w:rFonts w:hint="eastAsia" w:ascii="仿宋_GB2312" w:hAnsi="仿宋_GB2312" w:cs="仿宋_GB2312"/>
                                <w:sz w:val="18"/>
                                <w:szCs w:val="18"/>
                                <w:lang w:val="en-US" w:eastAsia="zh-CN"/>
                              </w:rPr>
                              <w:t>受检单位提供资料和人员配合</w:t>
                            </w:r>
                          </w:p>
                        </w:txbxContent>
                      </v:textbox>
                    </v:shape>
                    <v:roundrect id="_x0000_s1026" o:spid="_x0000_s1026" o:spt="2" style="position:absolute;left:13127;top:123990;height:608;width:3048;v-text-anchor:middle;" fillcolor="#D0CECE [2894]" filled="t" stroked="t" coordsize="21600,21600" arcsize="0.166666666666667" o:gfxdata="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GOPLb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14:paraId="1F37CC8B">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微软雅黑 Light" w:hAnsi="微软雅黑 Light" w:eastAsia="微软雅黑 Light" w:cs="微软雅黑 Light"/>
                                <w:color w:val="auto"/>
                                <w:kern w:val="0"/>
                                <w:sz w:val="24"/>
                                <w:szCs w:val="24"/>
                                <w:lang w:val="en-US" w:eastAsia="zh-CN"/>
                              </w:rPr>
                            </w:pPr>
                            <w:r>
                              <w:rPr>
                                <w:rFonts w:hint="eastAsia" w:ascii="微软雅黑 Light" w:hAnsi="微软雅黑 Light" w:eastAsia="微软雅黑 Light" w:cs="微软雅黑 Light"/>
                                <w:color w:val="auto"/>
                                <w:kern w:val="0"/>
                                <w:sz w:val="24"/>
                                <w:szCs w:val="24"/>
                                <w:lang w:val="en-US" w:eastAsia="zh-CN"/>
                              </w:rPr>
                              <w:t>检查单位对检查条件确认</w:t>
                            </w:r>
                          </w:p>
                        </w:txbxContent>
                      </v:textbox>
                    </v:roundrect>
                    <v:line id="_x0000_s1026" o:spid="_x0000_s1026" o:spt="20" style="position:absolute;left:13294;top:125428;flip:y;height:6;width:4031;" filled="f" stroked="t" coordsize="21600,21600" o:gfxdata="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zfsmugAAANsA&#10;AAAPAAAAAAAAAAEAIAAAACIAAABkcnMvZG93bnJldi54bWxQSwECFAAUAAAACACHTuJAMy8FnjsA&#10;AAA5AAAAEAAAAAAAAAABACAAAAAJAQAAZHJzL3NoYXBleG1sLnhtbFBLBQYAAAAABgAGAFsBAACz&#10;AwAAAAA=&#10;">
                      <v:fill on="f" focussize="0,0"/>
                      <v:stroke weight="1pt" color="#5B9BD5 [3204]" miterlimit="8" joinstyle="miter"/>
                      <v:imagedata o:title=""/>
                      <o:lock v:ext="edit" aspectratio="f"/>
                    </v:line>
                    <v:shape id="_x0000_s1026" o:spid="_x0000_s1026" o:spt="32" type="#_x0000_t32" style="position:absolute;left:13288;top:125425;height:517;width:6;" filled="f" stroked="t" coordsize="21600,21600" o:gfxdata="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8ig+8AAAA&#10;2wAAAA8AAAAAAAAAAQAgAAAAIgAAAGRycy9kb3ducmV2LnhtbFBLAQIUABQAAAAIAIdO4kAzLwWe&#10;OwAAADkAAAAQAAAAAAAAAAEAIAAAAAsBAABkcnMvc2hhcGV4bWwueG1sUEsFBgAAAAAGAAYAWwEA&#10;ALUDAAAAAA==&#10;">
                      <v:fill on="f" focussize="0,0"/>
                      <v:stroke weight="1pt" color="#5B9BD5 [3204]" miterlimit="8" joinstyle="miter" endarrow="open"/>
                      <v:imagedata o:title=""/>
                      <o:lock v:ext="edit" aspectratio="f"/>
                    </v:shape>
                    <v:shape id="_x0000_s1026" o:spid="_x0000_s1026" o:spt="32" type="#_x0000_t32" style="position:absolute;left:17307;top:125425;flip:x;height:495;width:2;" filled="f" stroked="t" coordsize="21600,21600" o:gfxdata="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STnii5AAAA2wAA&#10;AA8AAAAAAAAAAQAgAAAAIgAAAGRycy9kb3ducmV2LnhtbFBLAQIUABQAAAAIAIdO4kAzLwWeOwAA&#10;ADkAAAAQAAAAAAAAAAEAIAAAAAgBAABkcnMvc2hhcGV4bWwueG1sUEsFBgAAAAAGAAYAWwEAALID&#10;AAAAAA==&#10;">
                      <v:fill on="f" focussize="0,0"/>
                      <v:stroke weight="1pt" color="#5B9BD5 [3204]" miterlimit="8" joinstyle="miter" endarrow="open"/>
                      <v:imagedata o:title=""/>
                      <o:lock v:ext="edit" aspectratio="f"/>
                    </v:shape>
                    <v:roundrect id="_x0000_s1026" o:spid="_x0000_s1026" o:spt="2" style="position:absolute;left:12524;top:125926;height:608;width:1521;v-text-anchor:middle;" fillcolor="#D0CECE [2894]" filled="t" stroked="t" coordsize="21600,21600" arcsize="0.166666666666667" o:gfxdata="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BJfyL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14:paraId="3FC39CFC">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eastAsia"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终止检查</w:t>
                            </w:r>
                          </w:p>
                        </w:txbxContent>
                      </v:textbox>
                    </v:roundrect>
                    <v:roundrect id="_x0000_s1026" o:spid="_x0000_s1026" o:spt="2" style="position:absolute;left:15789;top:127077;height:608;width:3073;v-text-anchor:middle;" fillcolor="#D0CECE [2894]" filled="t" stroked="t" coordsize="21600,21600" arcsize="0.166666666666667" o:gfxdata="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ylZy7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14:paraId="30708811">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出具检查结果表</w:t>
                            </w:r>
                          </w:p>
                        </w:txbxContent>
                      </v:textbox>
                    </v:roundrect>
                    <v:roundrect id="_x0000_s1026" o:spid="_x0000_s1026" o:spt="2" style="position:absolute;left:10386;top:124851;height:984;width:1638;v-text-anchor:middle;" fillcolor="#D0CECE [2894]" filled="t" stroked="t" coordsize="21600,21600" arcsize="0.166666666666667" o:gfxdata="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GX8UL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14:paraId="32F2C159">
                            <w:pPr>
                              <w:keepNext w:val="0"/>
                              <w:keepLines w:val="0"/>
                              <w:pageBreakBefore w:val="0"/>
                              <w:widowControl w:val="0"/>
                              <w:kinsoku/>
                              <w:wordWrap/>
                              <w:overflowPunct/>
                              <w:topLinePunct w:val="0"/>
                              <w:bidi w:val="0"/>
                              <w:adjustRightInd/>
                              <w:snapToGrid w:val="0"/>
                              <w:spacing w:line="320" w:lineRule="exact"/>
                              <w:ind w:firstLine="0" w:firstLineChars="0"/>
                              <w:jc w:val="center"/>
                              <w:textAlignment w:val="auto"/>
                              <w:rPr>
                                <w:rFonts w:hint="default"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报聘请或委托单位</w:t>
                            </w:r>
                          </w:p>
                        </w:txbxContent>
                      </v:textbox>
                    </v:roundrect>
                    <v:roundrect id="_x0000_s1026" o:spid="_x0000_s1026" o:spt="2" style="position:absolute;left:12220;top:128706;height:857;width:2097;v-text-anchor:middle;" fillcolor="#D0CECE [2894]" filled="t" stroked="t" coordsize="21600,21600" arcsize="0.166666666666667" o:gfxdata="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H6aCK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12960B59">
                            <w:pPr>
                              <w:keepNext w:val="0"/>
                              <w:keepLines w:val="0"/>
                              <w:pageBreakBefore w:val="0"/>
                              <w:widowControl w:val="0"/>
                              <w:kinsoku/>
                              <w:wordWrap/>
                              <w:overflowPunct/>
                              <w:topLinePunct w:val="0"/>
                              <w:bidi w:val="0"/>
                              <w:adjustRightInd/>
                              <w:snapToGrid w:val="0"/>
                              <w:spacing w:line="320" w:lineRule="exact"/>
                              <w:ind w:firstLine="0" w:firstLineChars="0"/>
                              <w:jc w:val="center"/>
                              <w:textAlignment w:val="auto"/>
                              <w:rPr>
                                <w:rFonts w:hint="default"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合格</w:t>
                            </w:r>
                          </w:p>
                        </w:txbxContent>
                      </v:textbox>
                    </v:roundrect>
                    <v:roundrect id="_x0000_s1026" o:spid="_x0000_s1026" o:spt="2" style="position:absolute;left:17265;top:128737;height:831;width:2102;v-text-anchor:middle;" fillcolor="#D0CECE [2894]" filled="t" stroked="t" coordsize="21600,21600" arcsize="0.166666666666667" o:gfxdata="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rbNub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14:paraId="38FC1FC7">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微软雅黑 Light" w:hAnsi="微软雅黑 Light" w:eastAsia="微软雅黑 Light" w:cs="微软雅黑 Light"/>
                                <w:color w:val="auto"/>
                                <w:kern w:val="0"/>
                                <w:sz w:val="24"/>
                                <w:szCs w:val="24"/>
                                <w:highlight w:val="none"/>
                                <w:lang w:val="en-US" w:eastAsia="zh-CN"/>
                              </w:rPr>
                            </w:pPr>
                            <w:r>
                              <w:rPr>
                                <w:rFonts w:hint="eastAsia" w:ascii="微软雅黑 Light" w:hAnsi="微软雅黑 Light" w:eastAsia="微软雅黑 Light" w:cs="微软雅黑 Light"/>
                                <w:color w:val="auto"/>
                                <w:kern w:val="0"/>
                                <w:sz w:val="24"/>
                                <w:szCs w:val="24"/>
                                <w:highlight w:val="none"/>
                                <w:lang w:val="en-US" w:eastAsia="zh-CN"/>
                              </w:rPr>
                              <w:t>红线隐患不合格</w:t>
                            </w:r>
                          </w:p>
                        </w:txbxContent>
                      </v:textbox>
                    </v:roundrect>
                    <v:roundrect id="_x0000_s1026" o:spid="_x0000_s1026" o:spt="2" style="position:absolute;left:14660;top:128731;height:840;width:2097;v-text-anchor:middle;" fillcolor="#D0CECE [2894]" filled="t" stroked="t" coordsize="21600,21600" arcsize="0.166666666666667" o:gfxdata="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RlXYr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14:paraId="35DDDB5F">
                            <w:pPr>
                              <w:keepNext w:val="0"/>
                              <w:keepLines w:val="0"/>
                              <w:pageBreakBefore w:val="0"/>
                              <w:widowControl w:val="0"/>
                              <w:kinsoku/>
                              <w:wordWrap/>
                              <w:overflowPunct/>
                              <w:topLinePunct w:val="0"/>
                              <w:bidi w:val="0"/>
                              <w:adjustRightInd/>
                              <w:snapToGrid w:val="0"/>
                              <w:spacing w:line="320" w:lineRule="exact"/>
                              <w:ind w:firstLine="0" w:firstLineChars="0"/>
                              <w:jc w:val="center"/>
                              <w:textAlignment w:val="auto"/>
                              <w:rPr>
                                <w:rFonts w:hint="default"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其他隐患</w:t>
                            </w:r>
                          </w:p>
                          <w:p w14:paraId="4012159C">
                            <w:pPr>
                              <w:keepNext w:val="0"/>
                              <w:keepLines w:val="0"/>
                              <w:pageBreakBefore w:val="0"/>
                              <w:widowControl w:val="0"/>
                              <w:kinsoku/>
                              <w:wordWrap/>
                              <w:overflowPunct/>
                              <w:topLinePunct w:val="0"/>
                              <w:bidi w:val="0"/>
                              <w:adjustRightInd/>
                              <w:snapToGrid w:val="0"/>
                              <w:spacing w:line="320" w:lineRule="exact"/>
                              <w:ind w:firstLine="0" w:firstLineChars="0"/>
                              <w:jc w:val="center"/>
                              <w:textAlignment w:val="auto"/>
                              <w:rPr>
                                <w:rFonts w:hint="default"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不合格</w:t>
                            </w:r>
                          </w:p>
                        </w:txbxContent>
                      </v:textbox>
                    </v:roundrect>
                    <v:roundrect id="_x0000_s1026" o:spid="_x0000_s1026" o:spt="2" style="position:absolute;left:17265;top:131961;height:729;width:2119;v-text-anchor:middle;" fillcolor="#D0CECE [2894]" filled="t" stroked="t" coordsize="21600,21600" arcsize="0.166666666666667" o:gfxdata="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qHbI65AAAA2wAA&#10;AA8AAAAAAAAAAQAgAAAAIgAAAGRycy9kb3ducmV2LnhtbFBLAQIUABQAAAAIAIdO4kAzLwWeOwAA&#10;ADkAAAAQAAAAAAAAAAEAIAAAAAgBAABkcnMvc2hhcGV4bWwueG1sUEsFBgAAAAAGAAYAWwEAALID&#10;AAAAAA==&#10;">
                      <v:fill on="t" focussize="0,0"/>
                      <v:stroke weight="0.5pt" color="#000000 [3204]" joinstyle="round"/>
                      <v:imagedata o:title=""/>
                      <o:lock v:ext="edit" aspectratio="f"/>
                      <v:textbox>
                        <w:txbxContent>
                          <w:p w14:paraId="6C015810">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立即停用</w:t>
                            </w:r>
                          </w:p>
                        </w:txbxContent>
                      </v:textbox>
                    </v:roundrect>
                    <v:line id="_x0000_s1026" o:spid="_x0000_s1026" o:spt="20" style="position:absolute;left:13237;top:128229;height:0;width:4820;" filled="f" stroked="t" coordsize="21600,21600" o:gfxdata="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zPmzutwAAANsAAAAP&#10;AAAAAAAAAAEAIAAAACIAAABkcnMvZG93bnJldi54bWxQSwECFAAUAAAACACHTuJAMy8FnjsAAAA5&#10;AAAAEAAAAAAAAAABACAAAAAGAQAAZHJzL3NoYXBleG1sLnhtbFBLBQYAAAAABgAGAFsBAACwAwAA&#10;AAA=&#10;">
                      <v:fill on="f" focussize="0,0"/>
                      <v:stroke weight="1pt" color="#5B9BD5 [3204]" miterlimit="8" joinstyle="miter"/>
                      <v:imagedata o:title=""/>
                      <o:lock v:ext="edit" aspectratio="f"/>
                    </v:line>
                    <v:shape id="_x0000_s1026" o:spid="_x0000_s1026" o:spt="32" type="#_x0000_t32" style="position:absolute;left:15678;top:128244;height:489;width:4;" filled="f" stroked="t" coordsize="21600,21600" o:gfxdata="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gMhKa/&#10;AAAA2wAAAA8AAAAAAAAAAQAgAAAAIgAAAGRycy9kb3ducmV2LnhtbFBLAQIUABQAAAAIAIdO4kAz&#10;LwWeOwAAADkAAAAQAAAAAAAAAAEAIAAAAA4BAABkcnMvc2hhcGV4bWwueG1sUEsFBgAAAAAGAAYA&#10;WwEAALgDAAAAAA==&#10;">
                      <v:fill on="f" focussize="0,0"/>
                      <v:stroke weight="1pt" color="#5B9BD5 [3204]" miterlimit="8" joinstyle="miter" endarrow="open"/>
                      <v:imagedata o:title=""/>
                      <o:lock v:ext="edit" aspectratio="f"/>
                    </v:shape>
                    <v:shape id="_x0000_s1026" o:spid="_x0000_s1026" o:spt="32" type="#_x0000_t32" style="position:absolute;left:18059;top:128234;flip:x;height:565;width:4;" filled="f" stroked="t" coordsize="21600,21600" o:gfxdata="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BwoWi2AAAA2wAAAA8A&#10;AAAAAAAAAQAgAAAAIgAAAGRycy9kb3ducmV2LnhtbFBLAQIUABQAAAAIAIdO4kAzLwWeOwAAADkA&#10;AAAQAAAAAAAAAAEAIAAAAAUBAABkcnMvc2hhcGV4bWwueG1sUEsFBgAAAAAGAAYAWwEAAK8DAAAA&#10;AA==&#10;">
                      <v:fill on="f" focussize="0,0"/>
                      <v:stroke weight="1pt" color="#5B9BD5 [3204]" miterlimit="8" joinstyle="miter" endarrow="open"/>
                      <v:imagedata o:title=""/>
                      <o:lock v:ext="edit" aspectratio="f"/>
                    </v:shape>
                    <v:shape id="_x0000_s1026" o:spid="_x0000_s1026" o:spt="32" type="#_x0000_t32" style="position:absolute;left:13239;top:128249;flip:x;height:462;width:3;" filled="f" stroked="t" coordsize="21600,21600" o:gfxdata="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BqZ9O2AAAA2wAAAA8A&#10;AAAAAAAAAQAgAAAAIgAAAGRycy9kb3ducmV2LnhtbFBLAQIUABQAAAAIAIdO4kAzLwWeOwAAADkA&#10;AAAQAAAAAAAAAAEAIAAAAAUBAABkcnMvc2hhcGV4bWwueG1sUEsFBgAAAAAGAAYAWwEAAK8DAAAA&#10;AA==&#10;">
                      <v:fill on="f" focussize="0,0"/>
                      <v:stroke weight="1pt" color="#5B9BD5 [3204]" miterlimit="8" joinstyle="miter" endarrow="open"/>
                      <v:imagedata o:title=""/>
                      <o:lock v:ext="edit" aspectratio="f"/>
                    </v:shape>
                    <v:roundrect id="_x0000_s1026" o:spid="_x0000_s1026" o:spt="2" style="position:absolute;left:10233;top:126965;height:855;width:1799;v-text-anchor:middle;" fillcolor="#D0CECE [2894]" filled="t" stroked="t" coordsize="21600,21600" arcsize="0.166666666666667" o:gfxdata="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3Wd37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14:paraId="32C15E99">
                            <w:pPr>
                              <w:keepNext w:val="0"/>
                              <w:keepLines w:val="0"/>
                              <w:pageBreakBefore w:val="0"/>
                              <w:widowControl w:val="0"/>
                              <w:kinsoku/>
                              <w:wordWrap/>
                              <w:overflowPunct/>
                              <w:topLinePunct w:val="0"/>
                              <w:bidi w:val="0"/>
                              <w:adjustRightInd/>
                              <w:snapToGrid w:val="0"/>
                              <w:spacing w:line="320" w:lineRule="exact"/>
                              <w:ind w:firstLine="0" w:firstLineChars="0"/>
                              <w:jc w:val="center"/>
                              <w:textAlignment w:val="auto"/>
                              <w:rPr>
                                <w:rFonts w:hint="default"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出具检查结果表</w:t>
                            </w:r>
                          </w:p>
                          <w:p w14:paraId="76FCA384">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微软雅黑 Light" w:hAnsi="微软雅黑 Light" w:eastAsia="微软雅黑 Light" w:cs="微软雅黑 Light"/>
                                <w:kern w:val="0"/>
                                <w:sz w:val="24"/>
                                <w:szCs w:val="24"/>
                                <w:lang w:val="en-US" w:eastAsia="zh-CN"/>
                              </w:rPr>
                            </w:pPr>
                          </w:p>
                        </w:txbxContent>
                      </v:textbox>
                    </v:roundrect>
                    <v:roundrect id="_x0000_s1026" o:spid="_x0000_s1026" o:spt="2" style="position:absolute;left:12327;top:130482;height:624;width:2141;v-text-anchor:middle;" fillcolor="#D0CECE [2894]" filled="t" stroked="t" coordsize="21600,21600" arcsize="0.166666666666667" o:gfxdata="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6cDqL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14:paraId="51554757">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微软雅黑 Light" w:hAnsi="微软雅黑 Light" w:eastAsia="微软雅黑 Light" w:cs="微软雅黑 Light"/>
                                <w:color w:val="auto"/>
                                <w:kern w:val="0"/>
                                <w:sz w:val="24"/>
                                <w:szCs w:val="24"/>
                                <w:highlight w:val="none"/>
                                <w:lang w:val="en-US" w:eastAsia="zh-CN"/>
                              </w:rPr>
                            </w:pPr>
                            <w:r>
                              <w:rPr>
                                <w:rFonts w:hint="eastAsia" w:ascii="微软雅黑 Light" w:hAnsi="微软雅黑 Light" w:eastAsia="微软雅黑 Light" w:cs="微软雅黑 Light"/>
                                <w:color w:val="auto"/>
                                <w:kern w:val="0"/>
                                <w:sz w:val="24"/>
                                <w:szCs w:val="24"/>
                                <w:highlight w:val="none"/>
                                <w:lang w:val="en-US" w:eastAsia="zh-CN"/>
                              </w:rPr>
                              <w:t>监护使用、整改</w:t>
                            </w:r>
                          </w:p>
                        </w:txbxContent>
                      </v:textbox>
                    </v:roundrect>
                    <v:shape id="_x0000_s1026" o:spid="_x0000_s1026" o:spt="32" type="#_x0000_t32" style="position:absolute;left:13953;top:132386;flip:x;height:11;width:3184;" filled="f" stroked="t" coordsize="21600,21600" o:gfxdata="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9RYdC5AAAA2wAA&#10;AA8AAAAAAAAAAQAgAAAAIgAAAGRycy9kb3ducmV2LnhtbFBLAQIUABQAAAAIAIdO4kAzLwWeOwAA&#10;ADkAAAAQAAAAAAAAAAEAIAAAAAgBAABkcnMvc2hhcGV4bWwueG1sUEsFBgAAAAAGAAYAWwEAALID&#10;AAAAAA==&#10;">
                      <v:fill on="f" focussize="0,0"/>
                      <v:stroke weight="1pt" color="#5B9BD5 [3204]" miterlimit="8" joinstyle="miter" endarrow="open"/>
                      <v:imagedata o:title=""/>
                      <o:lock v:ext="edit" aspectratio="f"/>
                    </v:shape>
                    <v:roundrect id="_x0000_s1026" o:spid="_x0000_s1026" o:spt="2" style="position:absolute;left:10219;top:129798;height:1947;width:1601;v-text-anchor:middle;" fillcolor="#D0CECE [2894]" filled="t" stroked="t" coordsize="21600,21600" arcsize="0.166666666666667" o:gfxdata="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Ck80Q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21188ECA">
                            <w:pPr>
                              <w:keepNext w:val="0"/>
                              <w:keepLines w:val="0"/>
                              <w:pageBreakBefore w:val="0"/>
                              <w:widowControl w:val="0"/>
                              <w:kinsoku/>
                              <w:wordWrap/>
                              <w:overflowPunct/>
                              <w:topLinePunct w:val="0"/>
                              <w:bidi w:val="0"/>
                              <w:adjustRightInd/>
                              <w:snapToGrid w:val="0"/>
                              <w:spacing w:line="320" w:lineRule="exact"/>
                              <w:ind w:firstLine="0" w:firstLineChars="0"/>
                              <w:jc w:val="center"/>
                              <w:textAlignment w:val="auto"/>
                              <w:rPr>
                                <w:rFonts w:hint="default"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按聘请或委托单位要求进行整改确认封闭</w:t>
                            </w:r>
                          </w:p>
                        </w:txbxContent>
                      </v:textbox>
                    </v:roundrect>
                    <v:roundrect id="_x0000_s1026" o:spid="_x0000_s1026" o:spt="2" style="position:absolute;left:12521;top:126949;height:888;width:1601;v-text-anchor:middle;" fillcolor="#D0CECE [2894]" filled="t" stroked="t" coordsize="21600,21600" arcsize="0.166666666666667" o:gfxdata="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ceCum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30331B7F">
                            <w:pPr>
                              <w:keepNext w:val="0"/>
                              <w:keepLines w:val="0"/>
                              <w:pageBreakBefore w:val="0"/>
                              <w:widowControl w:val="0"/>
                              <w:kinsoku/>
                              <w:wordWrap/>
                              <w:overflowPunct/>
                              <w:topLinePunct w:val="0"/>
                              <w:bidi w:val="0"/>
                              <w:adjustRightInd/>
                              <w:snapToGrid w:val="0"/>
                              <w:spacing w:line="320" w:lineRule="exact"/>
                              <w:ind w:firstLine="0" w:firstLineChars="0"/>
                              <w:jc w:val="center"/>
                              <w:textAlignment w:val="auto"/>
                              <w:rPr>
                                <w:rFonts w:hint="eastAsia"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受检单位</w:t>
                            </w:r>
                          </w:p>
                          <w:p w14:paraId="57CD5A75">
                            <w:pPr>
                              <w:keepNext w:val="0"/>
                              <w:keepLines w:val="0"/>
                              <w:pageBreakBefore w:val="0"/>
                              <w:widowControl w:val="0"/>
                              <w:kinsoku/>
                              <w:wordWrap/>
                              <w:overflowPunct/>
                              <w:topLinePunct w:val="0"/>
                              <w:bidi w:val="0"/>
                              <w:adjustRightInd/>
                              <w:snapToGrid w:val="0"/>
                              <w:spacing w:line="320" w:lineRule="exact"/>
                              <w:ind w:firstLine="0" w:firstLineChars="0"/>
                              <w:jc w:val="center"/>
                              <w:textAlignment w:val="auto"/>
                              <w:rPr>
                                <w:rFonts w:hint="default"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签字确认</w:t>
                            </w:r>
                          </w:p>
                        </w:txbxContent>
                      </v:textbox>
                    </v:roundrect>
                    <v:line id="_x0000_s1026" o:spid="_x0000_s1026" o:spt="20" style="position:absolute;left:14651;top:124598;height:832;width:6;" filled="f" stroked="t" coordsize="21600,21600" o:gfxdata="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Wip8QtwAAANsAAAAP&#10;AAAAAAAAAAEAIAAAACIAAABkcnMvZG93bnJldi54bWxQSwECFAAUAAAACACHTuJAMy8FnjsAAAA5&#10;AAAAEAAAAAAAAAABACAAAAAGAQAAZHJzL3NoYXBleG1sLnhtbFBLBQYAAAAABgAGAFsBAACwAwAA&#10;AAA=&#10;">
                      <v:fill on="f" focussize="0,0"/>
                      <v:stroke weight="1pt" color="#5B9BD5 [3204]" miterlimit="8" joinstyle="miter"/>
                      <v:imagedata o:title=""/>
                      <o:lock v:ext="edit" aspectratio="f"/>
                    </v:line>
                    <v:shape id="_x0000_s1026" o:spid="_x0000_s1026" o:spt="32" type="#_x0000_t32" style="position:absolute;left:14122;top:127390;flip:x;height:3;width:1653;" filled="f" stroked="t" coordsize="21600,21600" o:gfxdata="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UWzOG5AAAA2wAA&#10;AA8AAAAAAAAAAQAgAAAAIgAAAGRycy9kb3ducmV2LnhtbFBLAQIUABQAAAAIAIdO4kAzLwWeOwAA&#10;ADkAAAAQAAAAAAAAAAEAIAAAAAgBAABkcnMvc2hhcGV4bWwueG1sUEsFBgAAAAAGAAYAWwEAALID&#10;AAAAAA==&#10;">
                      <v:fill on="f" focussize="0,0"/>
                      <v:stroke weight="1pt" color="#5B9BD5 [3204]" miterlimit="8" joinstyle="miter" endarrow="open"/>
                      <v:imagedata o:title=""/>
                      <o:lock v:ext="edit" aspectratio="f"/>
                    </v:shape>
                    <v:shape id="_x0000_s1026" o:spid="_x0000_s1026" o:spt="32" type="#_x0000_t32" style="position:absolute;left:11819;top:130780;flip:x;height:1;width:505;" filled="f" stroked="t" coordsize="21600,21600" o:gfxdata="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iViTvQAA&#10;ANsAAAAPAAAAAAAAAAEAIAAAACIAAABkcnMvZG93bnJldi54bWxQSwECFAAUAAAACACHTuJAMy8F&#10;njsAAAA5AAAAEAAAAAAAAAABACAAAAAMAQAAZHJzL3NoYXBleG1sLnhtbFBLBQYAAAAABgAGAFsB&#10;AAC2AwAAAAA=&#10;">
                      <v:fill on="f" focussize="0,0"/>
                      <v:stroke weight="1pt" color="#5B9BD5 [3204]" miterlimit="8" joinstyle="miter" endarrow="open"/>
                      <v:imagedata o:title=""/>
                      <o:lock v:ext="edit" aspectratio="f"/>
                    </v:shape>
                    <v:shape id="_x0000_s1026" o:spid="_x0000_s1026" o:spt="32" type="#_x0000_t32" style="position:absolute;left:12006;top:127400;flip:x;height:1;width:508;" filled="f" stroked="t" coordsize="21600,21600" o:gfxdata="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BmgSm2AAAA2wAAAA8A&#10;AAAAAAAAAQAgAAAAIgAAAGRycy9kb3ducmV2LnhtbFBLAQIUABQAAAAIAIdO4kAzLwWeOwAAADkA&#10;AAAQAAAAAAAAAAEAIAAAAAUBAABkcnMvc2hhcGV4bWwueG1sUEsFBgAAAAAGAAYAWwEAAK8DAAAA&#10;AA==&#10;">
                      <v:fill on="f" focussize="0,0"/>
                      <v:stroke weight="1pt" color="#5B9BD5 [3204]" miterlimit="8" joinstyle="miter" endarrow="open"/>
                      <v:imagedata o:title=""/>
                      <o:lock v:ext="edit" aspectratio="f"/>
                    </v:shape>
                    <v:shape id="_x0000_s1026" o:spid="_x0000_s1026" o:spt="202" type="#_x0000_t202" style="position:absolute;left:12977;top:125004;height:353;width:1597;v-text-anchor:middle;" fillcolor="#BDD7EE [1300]" filled="t" stroked="t" coordsize="21600,21600" o:gfxdata="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VECL4A&#10;AADbAAAADwAAAAAAAAABACAAAAAiAAAAZHJzL2Rvd25yZXYueG1sUEsBAhQAFAAAAAgAh07iQDMv&#10;BZ47AAAAOQAAABAAAAAAAAAAAQAgAAAADQEAAGRycy9zaGFwZXhtbC54bWxQSwUGAAAAAAYABgBb&#10;AQAAtwMAAAAA&#10;">
                      <v:fill on="t" focussize="0,0"/>
                      <v:stroke weight="0.5pt" color="#000000 [3204]" joinstyle="round"/>
                      <v:imagedata o:title=""/>
                      <o:lock v:ext="edit" aspectratio="f"/>
                      <v:textbox>
                        <w:txbxContent>
                          <w:p w14:paraId="56BD172F">
                            <w:pPr>
                              <w:spacing w:line="240" w:lineRule="auto"/>
                              <w:rPr>
                                <w:rFonts w:hint="default" w:ascii="仿宋_GB2312" w:hAnsi="仿宋_GB2312" w:cs="仿宋_GB2312"/>
                                <w:sz w:val="18"/>
                                <w:szCs w:val="18"/>
                                <w:lang w:val="en-US" w:eastAsia="zh-CN"/>
                              </w:rPr>
                            </w:pPr>
                            <w:r>
                              <w:rPr>
                                <w:rFonts w:hint="eastAsia" w:ascii="仿宋_GB2312" w:hAnsi="仿宋_GB2312" w:cs="仿宋_GB2312"/>
                                <w:sz w:val="18"/>
                                <w:szCs w:val="18"/>
                                <w:lang w:val="en-US" w:eastAsia="zh-CN"/>
                              </w:rPr>
                              <w:t>受检条件不符合</w:t>
                            </w:r>
                          </w:p>
                        </w:txbxContent>
                      </v:textbox>
                    </v:shape>
                    <v:shape id="_x0000_s1026" o:spid="_x0000_s1026" o:spt="202" type="#_x0000_t202" style="position:absolute;left:15289;top:124996;height:371;width:1470;v-text-anchor:middle;" fillcolor="#BDD7EE [1300]" filled="t" stroked="t" coordsize="21600,21600" o:gfxdata="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faf74A&#10;AADbAAAADwAAAAAAAAABACAAAAAiAAAAZHJzL2Rvd25yZXYueG1sUEsBAhQAFAAAAAgAh07iQDMv&#10;BZ47AAAAOQAAABAAAAAAAAAAAQAgAAAADQEAAGRycy9zaGFwZXhtbC54bWxQSwUGAAAAAAYABgBb&#10;AQAAtwMAAAAA&#10;">
                      <v:fill on="t" focussize="0,0"/>
                      <v:stroke weight="0.5pt" color="#000000 [3204]" joinstyle="round"/>
                      <v:imagedata o:title=""/>
                      <o:lock v:ext="edit" aspectratio="f"/>
                      <v:textbox>
                        <w:txbxContent>
                          <w:p w14:paraId="04ADCDF9">
                            <w:pPr>
                              <w:spacing w:line="240" w:lineRule="auto"/>
                              <w:rPr>
                                <w:rFonts w:hint="default" w:ascii="仿宋_GB2312" w:hAnsi="仿宋_GB2312" w:cs="仿宋_GB2312"/>
                                <w:sz w:val="18"/>
                                <w:szCs w:val="18"/>
                                <w:lang w:val="en-US" w:eastAsia="zh-CN"/>
                              </w:rPr>
                            </w:pPr>
                            <w:r>
                              <w:rPr>
                                <w:rFonts w:hint="eastAsia" w:ascii="仿宋_GB2312" w:hAnsi="仿宋_GB2312" w:cs="仿宋_GB2312"/>
                                <w:sz w:val="18"/>
                                <w:szCs w:val="18"/>
                                <w:lang w:val="en-US" w:eastAsia="zh-CN"/>
                              </w:rPr>
                              <w:t>受检条件符合</w:t>
                            </w:r>
                          </w:p>
                        </w:txbxContent>
                      </v:textbox>
                    </v:shape>
                    <v:shape id="_x0000_s1026" o:spid="_x0000_s1026" o:spt="32" type="#_x0000_t32" style="position:absolute;left:11151;top:125828;flip:y;height:1097;width:13;" filled="f" stroked="t" coordsize="21600,21600" o:gfxdata="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DDvMa5AAAA2wAA&#10;AA8AAAAAAAAAAQAgAAAAIgAAAGRycy9kb3ducmV2LnhtbFBLAQIUABQAAAAIAIdO4kAzLwWeOwAA&#10;ADkAAAAQAAAAAAAAAAEAIAAAAAgBAABkcnMvc2hhcGV4bWwueG1sUEsFBgAAAAAGAAYAWwEAALID&#10;AAAAAA==&#10;">
                      <v:fill on="f" focussize="0,0"/>
                      <v:stroke weight="1pt" color="#5B9BD5 [3204]" miterlimit="8" joinstyle="miter" endarrow="open"/>
                      <v:imagedata o:title=""/>
                      <o:lock v:ext="edit" aspectratio="f"/>
                    </v:shape>
                    <v:shape id="_x0000_s1026" o:spid="_x0000_s1026" o:spt="32" type="#_x0000_t32" style="position:absolute;left:14644;top:123474;flip:x y;height:4;width:1748;" filled="f" stroked="t" coordsize="21600,21600" o:gfxdata="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iC8GvQAA&#10;ANsAAAAPAAAAAAAAAAEAIAAAACIAAABkcnMvZG93bnJldi54bWxQSwECFAAUAAAACACHTuJAMy8F&#10;njsAAAA5AAAAEAAAAAAAAAABACAAAAAMAQAAZHJzL3NoYXBleG1sLnhtbFBLBQYAAAAABgAGAFsB&#10;AAC2AwAAAAA=&#10;">
                      <v:fill on="f" focussize="0,0"/>
                      <v:stroke weight="1pt" color="#5B9BD5 [3204]" miterlimit="8" joinstyle="miter" endarrow="open"/>
                      <v:imagedata o:title=""/>
                      <o:lock v:ext="edit" aspectratio="f"/>
                    </v:shape>
                  </v:group>
                  <v:line id="_x0000_s1026" o:spid="_x0000_s1026" o:spt="20" style="position:absolute;left:17479;top:129071;flip:x;height:537;width:3;" filled="f" stroked="t" coordsize="21600,21600" o:gfxdata="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FQrTbgAAADcAAAA&#10;DwAAAAAAAAABACAAAAAiAAAAZHJzL2Rvd25yZXYueG1sUEsBAhQAFAAAAAgAh07iQDMvBZ47AAAA&#10;OQAAABAAAAAAAAAAAQAgAAAABwEAAGRycy9zaGFwZXhtbC54bWxQSwUGAAAAAAYABgBbAQAAsQMA&#10;AAAA&#10;">
                    <v:fill on="f" focussize="0,0"/>
                    <v:stroke weight="1pt" color="#5B9BD5 [3204]" miterlimit="8" joinstyle="miter"/>
                    <v:imagedata o:title=""/>
                    <o:lock v:ext="edit" aspectratio="f"/>
                  </v:line>
                  <v:line id="_x0000_s1026" o:spid="_x0000_s1026" o:spt="20" style="position:absolute;left:11590;top:127611;flip:x y;height:5;width:1090;" filled="f" stroked="t" coordsize="21600,21600" o:gfxdata="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igGIugAAANwA&#10;AAAPAAAAAAAAAAEAIAAAACIAAABkcnMvZG93bnJldi54bWxQSwECFAAUAAAACACHTuJAMy8FnjsA&#10;AAA5AAAAEAAAAAAAAAABACAAAAAJAQAAZHJzL3NoYXBleG1sLnhtbFBLBQYAAAAABgAGAFsBAACz&#10;AwAAAAA=&#10;">
                    <v:fill on="f" focussize="0,0"/>
                    <v:stroke weight="1pt" color="#5B9BD5 [3204]" miterlimit="8" joinstyle="miter"/>
                    <v:imagedata o:title=""/>
                    <o:lock v:ext="edit" aspectratio="f"/>
                  </v:line>
                  <v:shape id="_x0000_s1026" o:spid="_x0000_s1026" o:spt="32" type="#_x0000_t32" style="position:absolute;left:11615;top:127611;height:775;width:8;" filled="f" stroked="t" coordsize="21600,21600" o:gfxdata="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Fgs8vQAA&#10;ANwAAAAPAAAAAAAAAAEAIAAAACIAAABkcnMvZG93bnJldi54bWxQSwECFAAUAAAACACHTuJAMy8F&#10;njsAAAA5AAAAEAAAAAAAAAABACAAAAAMAQAAZHJzL3NoYXBleG1sLnhtbFBLBQYAAAAABgAGAFsB&#10;AAC2AwAAAAA=&#10;">
                    <v:fill on="f" focussize="0,0"/>
                    <v:stroke weight="1pt" color="#5B9BD5 [3204]" miterlimit="8" joinstyle="miter" endarrow="open"/>
                    <v:imagedata o:title=""/>
                    <o:lock v:ext="edit" aspectratio="f"/>
                  </v:shape>
                </v:group>
                <v:shape id="_x0000_s1026" o:spid="_x0000_s1026" o:spt="32" type="#_x0000_t32" style="position:absolute;left:5171;top:132492;flip:y;height:981;width:2;" filled="f" stroked="t" coordsize="21600,21600" o:gfxdata="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PyDirsAAADc&#10;AAAADwAAAAAAAAABACAAAAAiAAAAZHJzL2Rvd25yZXYueG1sUEsBAhQAFAAAAAgAh07iQDMvBZ47&#10;AAAAOQAAABAAAAAAAAAAAQAgAAAACgEAAGRycy9zaGFwZXhtbC54bWxQSwUGAAAAAAYABgBbAQAA&#10;tAMAAAAA&#10;">
                  <v:fill on="f" focussize="0,0"/>
                  <v:stroke weight="1pt" color="#5B9BD5 [3204]" miterlimit="8" joinstyle="miter" endarrow="open"/>
                  <v:imagedata o:title=""/>
                  <o:lock v:ext="edit" aspectratio="f"/>
                </v:shape>
              </v:group>
            </w:pict>
          </mc:Fallback>
        </mc:AlternateContent>
      </w:r>
    </w:p>
    <w:p w14:paraId="499DFA64">
      <w:pPr>
        <w:spacing w:line="360" w:lineRule="auto"/>
        <w:rPr>
          <w:sz w:val="24"/>
        </w:rPr>
      </w:pPr>
    </w:p>
    <w:p w14:paraId="2D26B524">
      <w:pPr>
        <w:spacing w:line="360" w:lineRule="auto"/>
        <w:rPr>
          <w:sz w:val="24"/>
        </w:rPr>
      </w:pPr>
    </w:p>
    <w:p w14:paraId="41D3B806">
      <w:pPr>
        <w:spacing w:line="360" w:lineRule="auto"/>
        <w:rPr>
          <w:sz w:val="24"/>
        </w:rPr>
      </w:pPr>
    </w:p>
    <w:p w14:paraId="1DDB756E">
      <w:pPr>
        <w:spacing w:line="360" w:lineRule="auto"/>
        <w:rPr>
          <w:sz w:val="24"/>
        </w:rPr>
      </w:pPr>
    </w:p>
    <w:p w14:paraId="7F160271">
      <w:pPr>
        <w:spacing w:line="360" w:lineRule="auto"/>
        <w:rPr>
          <w:sz w:val="24"/>
        </w:rPr>
      </w:pPr>
    </w:p>
    <w:p w14:paraId="7E9902BD">
      <w:pPr>
        <w:spacing w:line="360" w:lineRule="auto"/>
        <w:rPr>
          <w:sz w:val="24"/>
        </w:rPr>
      </w:pPr>
    </w:p>
    <w:p w14:paraId="675B2C0D">
      <w:pPr>
        <w:spacing w:line="360" w:lineRule="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4239895</wp:posOffset>
                </wp:positionH>
                <wp:positionV relativeFrom="paragraph">
                  <wp:posOffset>829310</wp:posOffset>
                </wp:positionV>
                <wp:extent cx="4445" cy="341630"/>
                <wp:effectExtent l="47625" t="0" r="54610" b="8890"/>
                <wp:wrapNone/>
                <wp:docPr id="44" name="直接箭头连接符 44"/>
                <wp:cNvGraphicFramePr/>
                <a:graphic xmlns:a="http://schemas.openxmlformats.org/drawingml/2006/main">
                  <a:graphicData uri="http://schemas.microsoft.com/office/word/2010/wordprocessingShape">
                    <wps:wsp>
                      <wps:cNvCnPr>
                        <a:endCxn id="46" idx="0"/>
                      </wps:cNvCnPr>
                      <wps:spPr>
                        <a:xfrm>
                          <a:off x="0" y="0"/>
                          <a:ext cx="4445" cy="34163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33.85pt;margin-top:65.3pt;height:26.9pt;width:0.35pt;z-index:251661312;mso-width-relative:page;mso-height-relative:page;" filled="f" stroked="t" coordsize="21600,21600" o:gfxdata="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V&#10;LvvbAAAACwEAAA8AAAAAAAAAAQAgAAAAIgAAAGRycy9kb3ducmV2LnhtbFBLAQIUABQAAAAIAIdO&#10;4kC/EVXwIAIAAAsEAAAOAAAAAAAAAAEAIAAAACoBAABkcnMvZTJvRG9jLnhtbFBLBQYAAAAABgAG&#10;AFkBAAC8BQAAAAA=&#10;">
                <v:fill on="f" focussize="0,0"/>
                <v:stroke weight="1pt" color="#5B9BD5 [3204]" miterlimit="8" joinstyle="miter" endarrow="open"/>
                <v:imagedata o:title=""/>
                <o:lock v:ext="edit" aspectratio="f"/>
              </v:shape>
            </w:pict>
          </mc:Fallback>
        </mc:AlternateContent>
      </w:r>
    </w:p>
    <w:p w14:paraId="15162021">
      <w:pPr>
        <w:spacing w:line="360" w:lineRule="auto"/>
        <w:rPr>
          <w:sz w:val="24"/>
        </w:rPr>
      </w:pPr>
    </w:p>
    <w:p w14:paraId="1953AAED">
      <w:pPr>
        <w:spacing w:line="360" w:lineRule="auto"/>
        <w:rPr>
          <w:sz w:val="24"/>
        </w:rPr>
      </w:pPr>
    </w:p>
    <w:p w14:paraId="06F89329">
      <w:pPr>
        <w:spacing w:line="360" w:lineRule="auto"/>
        <w:rPr>
          <w:sz w:val="24"/>
        </w:rPr>
      </w:pPr>
    </w:p>
    <w:p w14:paraId="72A31522">
      <w:pPr>
        <w:spacing w:line="360" w:lineRule="auto"/>
        <w:rPr>
          <w:sz w:val="24"/>
        </w:rPr>
      </w:pPr>
    </w:p>
    <w:p w14:paraId="5A878C9F">
      <w:pPr>
        <w:spacing w:line="360" w:lineRule="auto"/>
        <w:rPr>
          <w:sz w:val="24"/>
        </w:rPr>
      </w:pPr>
    </w:p>
    <w:p w14:paraId="14411AE3">
      <w:pPr>
        <w:tabs>
          <w:tab w:val="left" w:pos="1909"/>
        </w:tabs>
        <w:spacing w:line="360" w:lineRule="auto"/>
        <w:rPr>
          <w:rFonts w:hint="eastAsia" w:eastAsia="仿宋_GB2312"/>
          <w:sz w:val="24"/>
          <w:lang w:eastAsia="zh-CN"/>
        </w:rPr>
      </w:pPr>
    </w:p>
    <w:p w14:paraId="41BB0CF5">
      <w:pPr>
        <w:spacing w:line="360" w:lineRule="auto"/>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3217545</wp:posOffset>
                </wp:positionH>
                <wp:positionV relativeFrom="paragraph">
                  <wp:posOffset>914400</wp:posOffset>
                </wp:positionV>
                <wp:extent cx="7620" cy="768985"/>
                <wp:effectExtent l="6350" t="0" r="14605" b="2540"/>
                <wp:wrapNone/>
                <wp:docPr id="84" name="直接连接符 84"/>
                <wp:cNvGraphicFramePr/>
                <a:graphic xmlns:a="http://schemas.openxmlformats.org/drawingml/2006/main">
                  <a:graphicData uri="http://schemas.microsoft.com/office/word/2010/wordprocessingShape">
                    <wps:wsp>
                      <wps:cNvCnPr>
                        <a:stCxn id="51" idx="2"/>
                      </wps:cNvCnPr>
                      <wps:spPr>
                        <a:xfrm>
                          <a:off x="4462780" y="5995035"/>
                          <a:ext cx="7620" cy="76898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53.35pt;margin-top:72pt;height:60.55pt;width:0.6pt;z-index:251662336;mso-width-relative:page;mso-height-relative:page;" filled="f" stroked="t" coordsize="21600,21600" o:gfxdata="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LUBSA1wAAAAsBAAAPAAAAAAAAAAEAIAAAACIA&#10;AABkcnMvZG93bnJldi54bWxQSwECFAAUAAAACACHTuJAMkPC7QoCAADpAwAADgAAAAAAAAABACAA&#10;AAAmAQAAZHJzL2Uyb0RvYy54bWxQSwUGAAAAAAYABgBZAQAAogUAAAAA&#10;">
                <v:fill on="f" focussize="0,0"/>
                <v:stroke weight="1pt" color="#5B9BD5 [3204]" miterlimit="8" joinstyle="miter"/>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4872990</wp:posOffset>
                </wp:positionH>
                <wp:positionV relativeFrom="paragraph">
                  <wp:posOffset>912495</wp:posOffset>
                </wp:positionV>
                <wp:extent cx="5715" cy="1519555"/>
                <wp:effectExtent l="45085" t="0" r="63500" b="4445"/>
                <wp:wrapNone/>
                <wp:docPr id="43" name="直接箭头连接符 43"/>
                <wp:cNvGraphicFramePr/>
                <a:graphic xmlns:a="http://schemas.openxmlformats.org/drawingml/2006/main">
                  <a:graphicData uri="http://schemas.microsoft.com/office/word/2010/wordprocessingShape">
                    <wps:wsp>
                      <wps:cNvCnPr>
                        <a:stCxn id="49" idx="2"/>
                        <a:endCxn id="53" idx="0"/>
                      </wps:cNvCnPr>
                      <wps:spPr>
                        <a:xfrm>
                          <a:off x="0" y="0"/>
                          <a:ext cx="5715" cy="151955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83.7pt;margin-top:71.85pt;height:119.65pt;width:0.45pt;z-index:251660288;mso-width-relative:page;mso-height-relative:page;" filled="f" stroked="t" coordsize="21600,21600" o:gfxdata="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IxoJ9sAAAALAQAADwAAAAAAAAABACAAAAAiAAAAZHJzL2Rvd25yZXYueG1sUEsBAhQA&#10;FAAAAAgAh07iQBZ8KHYoAgAAJgQAAA4AAAAAAAAAAQAgAAAAKgEAAGRycy9lMm9Eb2MueG1sUEsF&#10;BgAAAAAGAAYAWQEAAMQFAAAAAA==&#10;">
                <v:fill on="f" focussize="0,0"/>
                <v:stroke weight="1pt" color="#5B9BD5 [3204]" miterlimit="8" joinstyle="miter" endarrow="open"/>
                <v:imagedata o:title=""/>
                <o:lock v:ext="edit" aspectratio="f"/>
              </v:shape>
            </w:pict>
          </mc:Fallback>
        </mc:AlternateContent>
      </w:r>
    </w:p>
    <w:p w14:paraId="438287AB">
      <w:pPr>
        <w:spacing w:line="360" w:lineRule="auto"/>
        <w:rPr>
          <w:sz w:val="24"/>
        </w:rPr>
      </w:pPr>
    </w:p>
    <w:p w14:paraId="4B432D4C">
      <w:pPr>
        <w:spacing w:line="360" w:lineRule="auto"/>
        <w:rPr>
          <w:sz w:val="24"/>
        </w:rPr>
      </w:pPr>
    </w:p>
    <w:p w14:paraId="32E79665">
      <w:pPr>
        <w:spacing w:line="360" w:lineRule="auto"/>
        <w:rPr>
          <w:rFonts w:hint="eastAsia"/>
          <w:sz w:val="24"/>
          <w:lang w:val="en-US" w:eastAsia="zh-CN"/>
        </w:rPr>
      </w:pPr>
    </w:p>
    <w:p w14:paraId="5614EBCC">
      <w:pPr>
        <w:numPr>
          <w:ilvl w:val="0"/>
          <w:numId w:val="0"/>
        </w:numPr>
        <w:ind w:leftChars="0"/>
        <w:jc w:val="left"/>
        <w:rPr>
          <w:rFonts w:hint="eastAsia" w:ascii="宋体" w:hAnsi="宋体" w:eastAsia="宋体" w:cs="宋体"/>
          <w:b/>
          <w:bCs/>
          <w:color w:val="00B050"/>
          <w:kern w:val="2"/>
          <w:sz w:val="28"/>
          <w:szCs w:val="28"/>
          <w:lang w:val="en-US" w:eastAsia="zh-CN" w:bidi="ar-SA"/>
        </w:rPr>
      </w:pPr>
    </w:p>
    <w:p w14:paraId="14FB6202">
      <w:pPr>
        <w:numPr>
          <w:ilvl w:val="0"/>
          <w:numId w:val="0"/>
        </w:numPr>
        <w:ind w:leftChars="0"/>
        <w:jc w:val="left"/>
        <w:rPr>
          <w:rFonts w:hint="eastAsia" w:ascii="宋体" w:hAnsi="宋体" w:eastAsia="宋体" w:cs="宋体"/>
          <w:b/>
          <w:bCs/>
          <w:color w:val="auto"/>
          <w:kern w:val="2"/>
          <w:sz w:val="28"/>
          <w:szCs w:val="28"/>
          <w:lang w:val="en-US" w:eastAsia="zh-CN" w:bidi="ar-SA"/>
        </w:rPr>
      </w:pPr>
      <w:r>
        <mc:AlternateContent>
          <mc:Choice Requires="wps">
            <w:drawing>
              <wp:anchor distT="0" distB="0" distL="114300" distR="114300" simplePos="0" relativeHeight="251665408" behindDoc="0" locked="0" layoutInCell="1" allowOverlap="1">
                <wp:simplePos x="0" y="0"/>
                <wp:positionH relativeFrom="column">
                  <wp:posOffset>2431415</wp:posOffset>
                </wp:positionH>
                <wp:positionV relativeFrom="paragraph">
                  <wp:posOffset>293370</wp:posOffset>
                </wp:positionV>
                <wp:extent cx="789940" cy="635"/>
                <wp:effectExtent l="0" t="50165" r="10160" b="63500"/>
                <wp:wrapNone/>
                <wp:docPr id="7" name="直接箭头连接符 7"/>
                <wp:cNvGraphicFramePr/>
                <a:graphic xmlns:a="http://schemas.openxmlformats.org/drawingml/2006/main">
                  <a:graphicData uri="http://schemas.microsoft.com/office/word/2010/wordprocessingShape">
                    <wps:wsp>
                      <wps:cNvCnPr/>
                      <wps:spPr>
                        <a:xfrm flipH="1">
                          <a:off x="0" y="0"/>
                          <a:ext cx="789940" cy="63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anchor="ctr" anchorCtr="0"/>
                    </wps:wsp>
                  </a:graphicData>
                </a:graphic>
              </wp:anchor>
            </w:drawing>
          </mc:Choice>
          <mc:Fallback>
            <w:pict>
              <v:shape id="_x0000_s1026" o:spid="_x0000_s1026" o:spt="32" type="#_x0000_t32" style="position:absolute;left:0pt;flip:x;margin-left:191.45pt;margin-top:23.1pt;height:0.05pt;width:62.2pt;z-index:251665408;mso-width-relative:page;mso-height-relative:page;" filled="f" stroked="t" coordsize="21600,21600" o:gfxdata="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7Bs7D1wAA&#10;AAkBAAAPAAAAAAAAAAEAIAAAACIAAABkcnMvZG93bnJldi54bWxQSwECFAAUAAAACACHTuJAveZu&#10;zB8CAAAFBAAADgAAAAAAAAABACAAAAAmAQAAZHJzL2Uyb0RvYy54bWxQSwUGAAAAAAYABgBZAQAA&#10;twUAAAAA&#10;">
                <v:fill on="f" focussize="0,0"/>
                <v:stroke weight="1pt" color="#5B9BD5 [3204]" miterlimit="8" joinstyle="miter" endarrow="open"/>
                <v:imagedata o:title=""/>
                <o:lock v:ext="edit" aspectratio="f"/>
              </v:shape>
            </w:pict>
          </mc:Fallback>
        </mc:AlternateContent>
      </w:r>
    </w:p>
    <w:p w14:paraId="211DA2F6">
      <w:pPr>
        <w:numPr>
          <w:ilvl w:val="0"/>
          <w:numId w:val="0"/>
        </w:numPr>
        <w:ind w:leftChars="0"/>
        <w:jc w:val="left"/>
        <w:rPr>
          <w:rFonts w:hint="eastAsia" w:ascii="宋体" w:hAnsi="宋体" w:eastAsia="宋体" w:cs="宋体"/>
          <w:b/>
          <w:bCs/>
          <w:color w:val="auto"/>
          <w:kern w:val="2"/>
          <w:sz w:val="28"/>
          <w:szCs w:val="28"/>
          <w:lang w:val="en-US" w:eastAsia="zh-CN" w:bidi="ar-SA"/>
        </w:rPr>
      </w:pPr>
    </w:p>
    <w:p w14:paraId="3CC658A7">
      <w:pPr>
        <w:numPr>
          <w:ilvl w:val="0"/>
          <w:numId w:val="0"/>
        </w:numPr>
        <w:ind w:leftChars="0"/>
        <w:jc w:val="left"/>
        <w:rPr>
          <w:rFonts w:hint="eastAsia" w:ascii="宋体" w:hAnsi="宋体" w:eastAsia="宋体" w:cs="宋体"/>
          <w:b/>
          <w:bCs/>
          <w:color w:val="auto"/>
          <w:kern w:val="2"/>
          <w:sz w:val="28"/>
          <w:szCs w:val="28"/>
          <w:lang w:val="en-US" w:eastAsia="zh-CN" w:bidi="ar-SA"/>
        </w:rPr>
      </w:pPr>
    </w:p>
    <w:p w14:paraId="073390EE">
      <w:pPr>
        <w:numPr>
          <w:ilvl w:val="0"/>
          <w:numId w:val="0"/>
        </w:numPr>
        <w:ind w:leftChars="0"/>
        <w:jc w:val="left"/>
        <w:rPr>
          <w:rFonts w:hint="eastAsia" w:ascii="宋体" w:hAnsi="宋体" w:eastAsia="宋体" w:cs="宋体"/>
          <w:b/>
          <w:bCs/>
          <w:color w:val="auto"/>
          <w:kern w:val="2"/>
          <w:sz w:val="28"/>
          <w:szCs w:val="28"/>
          <w:lang w:val="en-US" w:eastAsia="zh-CN" w:bidi="ar-SA"/>
        </w:rPr>
      </w:pPr>
      <w:r>
        <mc:AlternateContent>
          <mc:Choice Requires="wps">
            <w:drawing>
              <wp:anchor distT="0" distB="0" distL="114300" distR="114300" simplePos="0" relativeHeight="251664384" behindDoc="0" locked="0" layoutInCell="1" allowOverlap="1">
                <wp:simplePos x="0" y="0"/>
                <wp:positionH relativeFrom="column">
                  <wp:posOffset>1382395</wp:posOffset>
                </wp:positionH>
                <wp:positionV relativeFrom="paragraph">
                  <wp:posOffset>128905</wp:posOffset>
                </wp:positionV>
                <wp:extent cx="906145" cy="382905"/>
                <wp:effectExtent l="4445" t="4445" r="16510" b="6350"/>
                <wp:wrapNone/>
                <wp:docPr id="4" name="文本框 4"/>
                <wp:cNvGraphicFramePr/>
                <a:graphic xmlns:a="http://schemas.openxmlformats.org/drawingml/2006/main">
                  <a:graphicData uri="http://schemas.microsoft.com/office/word/2010/wordprocessingShape">
                    <wps:wsp>
                      <wps:cNvSpPr txBox="1"/>
                      <wps:spPr>
                        <a:xfrm>
                          <a:off x="0" y="0"/>
                          <a:ext cx="906145" cy="382905"/>
                        </a:xfrm>
                        <a:prstGeom prst="roundRect">
                          <a:avLst/>
                        </a:prstGeom>
                        <a:solidFill>
                          <a:schemeClr val="bg2">
                            <a:lumMod val="9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1D20776">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安全措施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108.85pt;margin-top:10.15pt;height:30.15pt;width:71.35pt;z-index:251664384;mso-width-relative:page;mso-height-relative:page;" fillcolor="#D0CECE [2894]" filled="t" stroked="t" coordsize="21600,21600" arcsize="0.166666666666667" o:gfxdata="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feQKydkAAAAJAQAADwAAAAAAAAABACAAAAAiAAAAZHJzL2Rv&#10;d25yZXYueG1sUEsBAhQAFAAAAAgAh07iQPmdoH9yAgAA3QQAAA4AAAAAAAAAAQAgAAAAKAEAAGRy&#10;cy9lMm9Eb2MueG1sUEsFBgAAAAAGAAYAWQEAAAwGAAAAAA==&#10;">
                <v:fill on="t" focussize="0,0"/>
                <v:stroke weight="0.5pt" color="#000000 [3204]" joinstyle="round"/>
                <v:imagedata o:title=""/>
                <o:lock v:ext="edit" aspectratio="f"/>
                <v:textbox>
                  <w:txbxContent>
                    <w:p w14:paraId="21D20776">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default" w:ascii="微软雅黑 Light" w:hAnsi="微软雅黑 Light" w:eastAsia="微软雅黑 Light" w:cs="微软雅黑 Light"/>
                          <w:kern w:val="0"/>
                          <w:sz w:val="24"/>
                          <w:szCs w:val="24"/>
                          <w:lang w:val="en-US" w:eastAsia="zh-CN"/>
                        </w:rPr>
                      </w:pPr>
                      <w:r>
                        <w:rPr>
                          <w:rFonts w:hint="eastAsia" w:ascii="微软雅黑 Light" w:hAnsi="微软雅黑 Light" w:eastAsia="微软雅黑 Light" w:cs="微软雅黑 Light"/>
                          <w:kern w:val="0"/>
                          <w:sz w:val="24"/>
                          <w:szCs w:val="24"/>
                          <w:lang w:val="en-US" w:eastAsia="zh-CN"/>
                        </w:rPr>
                        <w:t>安全措施</w:t>
                      </w:r>
                    </w:p>
                  </w:txbxContent>
                </v:textbox>
              </v:roundrect>
            </w:pict>
          </mc:Fallback>
        </mc:AlternateContent>
      </w:r>
    </w:p>
    <w:p w14:paraId="54C6539E">
      <w:pPr>
        <w:numPr>
          <w:ilvl w:val="0"/>
          <w:numId w:val="0"/>
        </w:numPr>
        <w:ind w:leftChars="0"/>
        <w:jc w:val="left"/>
        <w:rPr>
          <w:sz w:val="24"/>
        </w:rPr>
      </w:pPr>
    </w:p>
    <w:p w14:paraId="47155763">
      <w:pPr>
        <w:numPr>
          <w:ilvl w:val="0"/>
          <w:numId w:val="0"/>
        </w:numPr>
        <w:ind w:leftChars="0"/>
        <w:jc w:val="left"/>
        <w:rPr>
          <w:sz w:val="24"/>
        </w:rPr>
      </w:pPr>
    </w:p>
    <w:p w14:paraId="1B296822">
      <w:pPr>
        <w:numPr>
          <w:ilvl w:val="0"/>
          <w:numId w:val="0"/>
        </w:numPr>
        <w:ind w:leftChars="0"/>
        <w:jc w:val="left"/>
        <w:rPr>
          <w:sz w:val="24"/>
        </w:rPr>
      </w:pPr>
    </w:p>
    <w:p w14:paraId="04725114">
      <w:pPr>
        <w:numPr>
          <w:ilvl w:val="0"/>
          <w:numId w:val="0"/>
        </w:numPr>
        <w:ind w:leftChars="0"/>
        <w:jc w:val="left"/>
        <w:rPr>
          <w:sz w:val="24"/>
        </w:rPr>
      </w:pPr>
    </w:p>
    <w:p w14:paraId="4FDD55EB">
      <w:pPr>
        <w:numPr>
          <w:ilvl w:val="0"/>
          <w:numId w:val="0"/>
        </w:numPr>
        <w:ind w:leftChars="0"/>
        <w:jc w:val="both"/>
        <w:rPr>
          <w:rFonts w:hint="eastAsia" w:ascii="黑体" w:hAnsi="黑体" w:eastAsia="黑体" w:cs="黑体"/>
          <w:b w:val="0"/>
          <w:bCs w:val="0"/>
          <w:color w:val="auto"/>
          <w:kern w:val="2"/>
          <w:sz w:val="28"/>
          <w:szCs w:val="28"/>
          <w:lang w:val="en-US" w:eastAsia="zh-CN" w:bidi="ar-SA"/>
        </w:rPr>
      </w:pPr>
    </w:p>
    <w:p w14:paraId="116E6AB5">
      <w:pPr>
        <w:numPr>
          <w:ilvl w:val="0"/>
          <w:numId w:val="0"/>
        </w:numPr>
        <w:bidi w:val="0"/>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8"/>
          <w:szCs w:val="28"/>
          <w:lang w:val="en-US" w:eastAsia="zh-CN" w:bidi="ar-SA"/>
        </w:rPr>
        <w:t>6  检查</w:t>
      </w:r>
      <w:r>
        <w:rPr>
          <w:rFonts w:hint="eastAsia" w:ascii="宋体" w:hAnsi="宋体" w:eastAsia="宋体" w:cs="宋体"/>
          <w:b/>
          <w:bCs/>
          <w:color w:val="auto"/>
          <w:sz w:val="28"/>
          <w:szCs w:val="28"/>
          <w:lang w:val="en-US" w:eastAsia="zh-CN"/>
        </w:rPr>
        <w:t>判定标准</w:t>
      </w:r>
    </w:p>
    <w:p w14:paraId="0252BE96">
      <w:pPr>
        <w:bidi w:val="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 xml:space="preserve">6.0.1  </w:t>
      </w:r>
      <w:r>
        <w:rPr>
          <w:rFonts w:hint="eastAsia" w:ascii="宋体" w:hAnsi="宋体" w:eastAsia="宋体" w:cs="宋体"/>
          <w:b w:val="0"/>
          <w:bCs w:val="0"/>
          <w:color w:val="auto"/>
          <w:kern w:val="2"/>
          <w:sz w:val="24"/>
          <w:szCs w:val="24"/>
          <w:lang w:val="en-US" w:eastAsia="zh-CN" w:bidi="ar-SA"/>
        </w:rPr>
        <w:t>判定应符合下列规定：</w:t>
      </w:r>
    </w:p>
    <w:p w14:paraId="26F590E4">
      <w:pPr>
        <w:bidi w:val="0"/>
        <w:ind w:firstLine="482" w:firstLineChars="20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1</w:t>
      </w:r>
      <w:r>
        <w:rPr>
          <w:rFonts w:hint="eastAsia" w:ascii="宋体" w:hAnsi="宋体" w:eastAsia="宋体" w:cs="宋体"/>
          <w:b w:val="0"/>
          <w:bCs w:val="0"/>
          <w:color w:val="auto"/>
          <w:kern w:val="2"/>
          <w:sz w:val="24"/>
          <w:szCs w:val="24"/>
          <w:lang w:val="en-US" w:eastAsia="zh-CN" w:bidi="ar-SA"/>
        </w:rPr>
        <w:t>.塔式起重机按</w:t>
      </w:r>
      <w:r>
        <w:rPr>
          <w:rFonts w:hint="eastAsia" w:ascii="宋体" w:hAnsi="宋体" w:eastAsia="宋体" w:cs="宋体"/>
          <w:color w:val="auto"/>
          <w:sz w:val="24"/>
          <w:szCs w:val="24"/>
          <w:lang w:val="en-US" w:eastAsia="zh-CN"/>
        </w:rPr>
        <w:t>《塔式起重机》GB/T 5031、《建筑施工升降设备设施检查标准》JGJ 305的规定判定；</w:t>
      </w:r>
    </w:p>
    <w:p w14:paraId="4C6E9557">
      <w:pPr>
        <w:numPr>
          <w:ilvl w:val="0"/>
          <w:numId w:val="0"/>
        </w:numPr>
        <w:ind w:firstLine="482" w:firstLineChars="200"/>
        <w:jc w:val="left"/>
        <w:rPr>
          <w:rFonts w:hint="eastAsia" w:ascii="宋体" w:hAnsi="宋体" w:eastAsia="宋体" w:cs="宋体"/>
          <w:color w:val="auto"/>
          <w:sz w:val="24"/>
          <w:szCs w:val="24"/>
          <w:lang w:val="en-US" w:eastAsia="zh-CN"/>
        </w:rPr>
      </w:pPr>
      <w:r>
        <w:rPr>
          <w:rFonts w:hint="eastAsia" w:ascii="宋体" w:hAnsi="宋体" w:eastAsia="宋体" w:cs="宋体"/>
          <w:b/>
          <w:bCs/>
          <w:color w:val="auto"/>
          <w:kern w:val="2"/>
          <w:sz w:val="24"/>
          <w:szCs w:val="24"/>
          <w:lang w:val="en-US" w:eastAsia="zh-CN" w:bidi="ar-SA"/>
        </w:rPr>
        <w:t>2</w:t>
      </w:r>
      <w:r>
        <w:rPr>
          <w:rFonts w:hint="eastAsia" w:ascii="宋体" w:hAnsi="宋体" w:eastAsia="宋体" w:cs="宋体"/>
          <w:b w:val="0"/>
          <w:bCs w:val="0"/>
          <w:color w:val="auto"/>
          <w:kern w:val="2"/>
          <w:sz w:val="24"/>
          <w:szCs w:val="24"/>
          <w:lang w:val="en-US" w:eastAsia="zh-CN" w:bidi="ar-SA"/>
        </w:rPr>
        <w:t>.施工升降机按</w:t>
      </w:r>
      <w:r>
        <w:rPr>
          <w:rFonts w:hint="eastAsia" w:ascii="宋体" w:hAnsi="宋体" w:eastAsia="宋体" w:cs="宋体"/>
          <w:color w:val="auto"/>
          <w:sz w:val="24"/>
          <w:szCs w:val="24"/>
          <w:lang w:val="en-US" w:eastAsia="zh-CN"/>
        </w:rPr>
        <w:t>《吊笼有垂直导向的人货两用施工升降机》GB/T 26557、《建筑施工升降设备设施检查标准》JGJ 305的规定判定；</w:t>
      </w:r>
    </w:p>
    <w:p w14:paraId="4EE9F4DB">
      <w:pPr>
        <w:numPr>
          <w:ilvl w:val="0"/>
          <w:numId w:val="0"/>
        </w:numPr>
        <w:ind w:firstLine="482" w:firstLineChars="200"/>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3</w:t>
      </w:r>
      <w:r>
        <w:rPr>
          <w:rFonts w:hint="eastAsia" w:ascii="宋体" w:hAnsi="宋体" w:eastAsia="宋体" w:cs="宋体"/>
          <w:color w:val="auto"/>
          <w:sz w:val="24"/>
          <w:szCs w:val="24"/>
          <w:lang w:val="en-US" w:eastAsia="zh-CN"/>
        </w:rPr>
        <w:t>.</w:t>
      </w:r>
      <w:r>
        <w:rPr>
          <w:rFonts w:hint="eastAsia" w:ascii="宋体" w:hAnsi="宋体" w:eastAsia="宋体" w:cs="宋体"/>
          <w:b w:val="0"/>
          <w:bCs w:val="0"/>
          <w:color w:val="auto"/>
          <w:kern w:val="2"/>
          <w:sz w:val="24"/>
          <w:szCs w:val="24"/>
          <w:lang w:val="en-US" w:eastAsia="zh-CN" w:bidi="ar-SA"/>
        </w:rPr>
        <w:t>履带起重机和桥（门）式起重机按</w:t>
      </w:r>
      <w:r>
        <w:rPr>
          <w:rFonts w:hint="eastAsia" w:ascii="宋体" w:hAnsi="宋体" w:eastAsia="宋体" w:cs="宋体"/>
          <w:color w:val="auto"/>
          <w:sz w:val="24"/>
          <w:szCs w:val="24"/>
          <w:lang w:val="en-US" w:eastAsia="zh-CN"/>
        </w:rPr>
        <w:t>《起重机械安全技术规程》TSG 51的规定判定；</w:t>
      </w:r>
    </w:p>
    <w:p w14:paraId="3652D961">
      <w:pPr>
        <w:numPr>
          <w:ilvl w:val="0"/>
          <w:numId w:val="0"/>
        </w:numPr>
        <w:ind w:firstLine="482" w:firstLineChars="200"/>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4.</w:t>
      </w:r>
      <w:r>
        <w:rPr>
          <w:rFonts w:hint="eastAsia" w:ascii="宋体" w:hAnsi="宋体" w:eastAsia="宋体" w:cs="宋体"/>
          <w:color w:val="auto"/>
          <w:sz w:val="24"/>
          <w:szCs w:val="24"/>
          <w:lang w:val="en-US" w:eastAsia="zh-CN"/>
        </w:rPr>
        <w:t>高处作业吊篮按《建筑施工升降设备设施检查标准》JGJ 305、《建筑施工高处作业品篮安全技术规程》DBJ33/</w:t>
      </w:r>
      <w:r>
        <w:rPr>
          <w:rFonts w:hint="eastAsia" w:ascii="宋体" w:hAnsi="宋体" w:eastAsia="宋体" w:cs="宋体"/>
          <w:b w:val="0"/>
          <w:bCs w:val="0"/>
          <w:color w:val="auto"/>
          <w:sz w:val="24"/>
          <w:szCs w:val="24"/>
          <w:lang w:val="en-US" w:eastAsia="zh-CN"/>
        </w:rPr>
        <w:t>T 1271</w:t>
      </w:r>
      <w:r>
        <w:rPr>
          <w:rFonts w:hint="eastAsia" w:ascii="宋体" w:hAnsi="宋体" w:eastAsia="宋体" w:cs="宋体"/>
          <w:color w:val="auto"/>
          <w:sz w:val="24"/>
          <w:szCs w:val="24"/>
          <w:lang w:val="en-US" w:eastAsia="zh-CN"/>
        </w:rPr>
        <w:t>的规定判定；</w:t>
      </w:r>
    </w:p>
    <w:p w14:paraId="4FE0384B">
      <w:pPr>
        <w:numPr>
          <w:ilvl w:val="0"/>
          <w:numId w:val="0"/>
        </w:numPr>
        <w:ind w:firstLine="482"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w:t>
      </w:r>
      <w:r>
        <w:rPr>
          <w:rFonts w:hint="eastAsia" w:ascii="宋体" w:hAnsi="宋体" w:eastAsia="宋体" w:cs="宋体"/>
          <w:b w:val="0"/>
          <w:bCs w:val="0"/>
          <w:color w:val="auto"/>
          <w:kern w:val="2"/>
          <w:sz w:val="24"/>
          <w:szCs w:val="24"/>
          <w:lang w:val="en-US" w:eastAsia="zh-CN" w:bidi="ar-SA"/>
        </w:rPr>
        <w:t>汽车起重机按《建设工程移动式起重机安全检查技术规程》DB33/T 1224</w:t>
      </w:r>
      <w:r>
        <w:rPr>
          <w:rFonts w:hint="eastAsia" w:ascii="宋体" w:hAnsi="宋体" w:eastAsia="宋体" w:cs="宋体"/>
          <w:color w:val="auto"/>
          <w:sz w:val="24"/>
          <w:szCs w:val="24"/>
          <w:lang w:val="en-US" w:eastAsia="zh-CN"/>
        </w:rPr>
        <w:t>规定判定</w:t>
      </w:r>
      <w:r>
        <w:rPr>
          <w:rFonts w:hint="eastAsia" w:ascii="宋体" w:hAnsi="宋体" w:eastAsia="宋体" w:cs="宋体"/>
          <w:b/>
          <w:bCs/>
          <w:color w:val="auto"/>
          <w:sz w:val="24"/>
          <w:szCs w:val="24"/>
          <w:lang w:val="en-US" w:eastAsia="zh-CN"/>
        </w:rPr>
        <w:t>。</w:t>
      </w:r>
    </w:p>
    <w:p w14:paraId="1C12A2B9">
      <w:pPr>
        <w:numPr>
          <w:ilvl w:val="0"/>
          <w:numId w:val="6"/>
        </w:numPr>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附着升降脚手架按《建筑施工升降设备设施检查标准》JGJ 305、《装配型附着式升降脚手架安全技术规程》DBJ33/T 1292的规定判定；</w:t>
      </w:r>
    </w:p>
    <w:p w14:paraId="6D880606">
      <w:pPr>
        <w:numPr>
          <w:ilvl w:val="0"/>
          <w:numId w:val="6"/>
        </w:numPr>
        <w:ind w:firstLine="480" w:firstLineChars="200"/>
        <w:jc w:val="left"/>
        <w:rPr>
          <w:rFonts w:hint="default"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货用施工升降机</w:t>
      </w:r>
      <w:r>
        <w:rPr>
          <w:rFonts w:hint="eastAsia" w:ascii="宋体" w:hAnsi="宋体" w:eastAsia="宋体" w:cs="宋体"/>
          <w:b w:val="0"/>
          <w:bCs w:val="0"/>
          <w:color w:val="auto"/>
          <w:kern w:val="2"/>
          <w:sz w:val="24"/>
          <w:szCs w:val="24"/>
          <w:lang w:val="en-US" w:eastAsia="zh-CN" w:bidi="ar-SA"/>
        </w:rPr>
        <w:t>按</w:t>
      </w:r>
      <w:r>
        <w:rPr>
          <w:rFonts w:hint="eastAsia" w:ascii="宋体" w:hAnsi="宋体" w:eastAsia="宋体" w:cs="宋体"/>
          <w:color w:val="auto"/>
          <w:sz w:val="24"/>
          <w:szCs w:val="24"/>
          <w:lang w:val="en-US" w:eastAsia="zh-CN"/>
        </w:rPr>
        <w:t>《建筑施工升降设备设施检查标准》JGJ 305的规定判定。</w:t>
      </w:r>
    </w:p>
    <w:p w14:paraId="0C478E90">
      <w:pPr>
        <w:numPr>
          <w:ilvl w:val="0"/>
          <w:numId w:val="0"/>
        </w:numPr>
        <w:ind w:firstLine="482"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 xml:space="preserve">6.0.2  </w:t>
      </w:r>
      <w:r>
        <w:rPr>
          <w:rFonts w:hint="eastAsia" w:ascii="宋体" w:hAnsi="宋体" w:eastAsia="宋体" w:cs="宋体"/>
          <w:b w:val="0"/>
          <w:bCs w:val="0"/>
          <w:color w:val="auto"/>
          <w:sz w:val="24"/>
          <w:szCs w:val="24"/>
          <w:lang w:val="en-US" w:eastAsia="zh-CN"/>
        </w:rPr>
        <w:t>各类建筑机械不合格项中的重大隐患按表2～8的规定进行判定。</w:t>
      </w:r>
    </w:p>
    <w:p w14:paraId="2C875AA3">
      <w:pPr>
        <w:numPr>
          <w:ilvl w:val="0"/>
          <w:numId w:val="0"/>
        </w:numPr>
        <w:jc w:val="left"/>
        <w:rPr>
          <w:rFonts w:hint="eastAsia" w:ascii="宋体" w:hAnsi="宋体" w:eastAsia="宋体" w:cs="宋体"/>
          <w:b/>
          <w:bCs/>
          <w:color w:val="auto"/>
          <w:sz w:val="24"/>
          <w:szCs w:val="24"/>
          <w:lang w:val="en-US" w:eastAsia="zh-CN"/>
        </w:rPr>
      </w:pPr>
    </w:p>
    <w:p w14:paraId="7CCD53E5">
      <w:pPr>
        <w:numPr>
          <w:ilvl w:val="0"/>
          <w:numId w:val="0"/>
        </w:numPr>
        <w:jc w:val="left"/>
        <w:rPr>
          <w:rFonts w:hint="default" w:ascii="宋体" w:hAnsi="宋体" w:eastAsia="宋体" w:cs="宋体"/>
          <w:b/>
          <w:bCs/>
          <w:color w:val="auto"/>
          <w:sz w:val="24"/>
          <w:szCs w:val="24"/>
          <w:lang w:val="en-US" w:eastAsia="zh-CN"/>
        </w:rPr>
        <w:sectPr>
          <w:pgSz w:w="11906" w:h="16838"/>
          <w:pgMar w:top="1440" w:right="1466"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4FA15BE">
      <w:pPr>
        <w:pStyle w:val="3"/>
        <w:numPr>
          <w:ilvl w:val="0"/>
          <w:numId w:val="0"/>
        </w:numPr>
        <w:bidi w:val="0"/>
        <w:jc w:val="center"/>
        <w:rPr>
          <w:rFonts w:hint="default" w:ascii="宋体" w:hAnsi="宋体" w:eastAsia="宋体" w:cs="宋体"/>
          <w:b w:val="0"/>
          <w:bCs w:val="0"/>
          <w:kern w:val="2"/>
          <w:sz w:val="24"/>
          <w:szCs w:val="24"/>
          <w:shd w:val="clear"/>
          <w:lang w:val="en-US" w:eastAsia="zh-CN" w:bidi="ar-SA"/>
        </w:rPr>
      </w:pPr>
      <w:r>
        <w:rPr>
          <w:rFonts w:hint="eastAsia" w:ascii="宋体" w:hAnsi="宋体" w:eastAsia="宋体" w:cs="宋体"/>
          <w:b w:val="0"/>
          <w:bCs w:val="0"/>
          <w:kern w:val="2"/>
          <w:sz w:val="24"/>
          <w:szCs w:val="24"/>
          <w:shd w:val="clear"/>
          <w:lang w:val="en-US" w:eastAsia="zh-CN" w:bidi="ar-SA"/>
        </w:rPr>
        <w:t>表</w:t>
      </w:r>
      <w:r>
        <w:rPr>
          <w:rFonts w:hint="eastAsia" w:ascii="宋体" w:hAnsi="宋体" w:cs="宋体"/>
          <w:b w:val="0"/>
          <w:bCs w:val="0"/>
          <w:kern w:val="2"/>
          <w:sz w:val="24"/>
          <w:szCs w:val="24"/>
          <w:shd w:val="clear"/>
          <w:lang w:val="en-US" w:eastAsia="zh-CN" w:bidi="ar-SA"/>
        </w:rPr>
        <w:t>2</w:t>
      </w:r>
      <w:r>
        <w:rPr>
          <w:rFonts w:hint="eastAsia" w:ascii="宋体" w:hAnsi="宋体" w:eastAsia="宋体" w:cs="宋体"/>
          <w:b w:val="0"/>
          <w:bCs w:val="0"/>
          <w:kern w:val="2"/>
          <w:sz w:val="24"/>
          <w:szCs w:val="24"/>
          <w:shd w:val="clear"/>
          <w:lang w:val="en-US" w:eastAsia="zh-CN" w:bidi="ar-SA"/>
        </w:rPr>
        <w:t xml:space="preserve">  塔式起</w:t>
      </w:r>
      <w:r>
        <w:rPr>
          <w:rFonts w:hint="eastAsia" w:ascii="宋体" w:hAnsi="宋体" w:eastAsia="宋体" w:cs="宋体"/>
          <w:b w:val="0"/>
          <w:bCs w:val="0"/>
          <w:color w:val="auto"/>
          <w:kern w:val="2"/>
          <w:sz w:val="24"/>
          <w:szCs w:val="24"/>
          <w:highlight w:val="none"/>
          <w:shd w:val="clear"/>
          <w:lang w:val="en-US" w:eastAsia="zh-CN" w:bidi="ar-SA"/>
        </w:rPr>
        <w:t>重机</w:t>
      </w:r>
      <w:r>
        <w:rPr>
          <w:rFonts w:hint="eastAsia" w:ascii="宋体" w:hAnsi="宋体" w:cs="宋体"/>
          <w:b w:val="0"/>
          <w:bCs w:val="0"/>
          <w:color w:val="auto"/>
          <w:kern w:val="2"/>
          <w:sz w:val="24"/>
          <w:szCs w:val="24"/>
          <w:highlight w:val="none"/>
          <w:shd w:val="clear"/>
          <w:lang w:val="en-US" w:eastAsia="zh-CN" w:bidi="ar-SA"/>
        </w:rPr>
        <w:t>红线隐患负面清单</w:t>
      </w:r>
    </w:p>
    <w:tbl>
      <w:tblPr>
        <w:tblStyle w:val="16"/>
        <w:tblW w:w="140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0"/>
        <w:gridCol w:w="733"/>
        <w:gridCol w:w="3023"/>
        <w:gridCol w:w="8084"/>
        <w:gridCol w:w="1850"/>
      </w:tblGrid>
      <w:tr w14:paraId="76D09B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tblHeader/>
        </w:trPr>
        <w:tc>
          <w:tcPr>
            <w:tcW w:w="400" w:type="dxa"/>
            <w:tcBorders>
              <w:top w:val="single" w:color="000000" w:sz="4" w:space="0"/>
              <w:left w:val="single" w:color="000000" w:sz="4" w:space="0"/>
              <w:bottom w:val="single" w:color="000000" w:sz="4" w:space="0"/>
              <w:right w:val="single" w:color="000000" w:sz="4" w:space="0"/>
              <w:tl2br w:val="nil"/>
            </w:tcBorders>
            <w:shd w:val="clear" w:color="auto" w:fill="auto"/>
            <w:vAlign w:val="center"/>
          </w:tcPr>
          <w:p w14:paraId="28991574">
            <w:pPr>
              <w:keepNext w:val="0"/>
              <w:keepLines w:val="0"/>
              <w:widowControl/>
              <w:suppressLineNumbers w:val="0"/>
              <w:spacing w:line="240" w:lineRule="auto"/>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序号</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17EA">
            <w:pPr>
              <w:keepNext w:val="0"/>
              <w:keepLines w:val="0"/>
              <w:widowControl/>
              <w:suppressLineNumbers w:val="0"/>
              <w:spacing w:line="240" w:lineRule="auto"/>
              <w:jc w:val="center"/>
              <w:textAlignment w:val="center"/>
              <w:rPr>
                <w:rFonts w:hint="default" w:ascii="宋体" w:hAnsi="宋体" w:eastAsia="宋体" w:cs="宋体"/>
                <w:b w:val="0"/>
                <w:bCs/>
                <w:i w:val="0"/>
                <w:iCs w:val="0"/>
                <w:color w:val="000000"/>
                <w:sz w:val="21"/>
                <w:szCs w:val="21"/>
                <w:u w:val="none"/>
                <w:lang w:val="en-US"/>
              </w:rPr>
            </w:pPr>
            <w:r>
              <w:rPr>
                <w:rFonts w:hint="eastAsia" w:ascii="宋体" w:hAnsi="宋体" w:eastAsia="宋体" w:cs="宋体"/>
                <w:b w:val="0"/>
                <w:bCs/>
                <w:i w:val="0"/>
                <w:iCs w:val="0"/>
                <w:color w:val="000000"/>
                <w:kern w:val="0"/>
                <w:sz w:val="21"/>
                <w:szCs w:val="21"/>
                <w:u w:val="none"/>
                <w:lang w:val="en-US" w:eastAsia="zh-CN" w:bidi="ar"/>
              </w:rPr>
              <w:t>分类</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1F9B">
            <w:pPr>
              <w:keepNext w:val="0"/>
              <w:keepLines w:val="0"/>
              <w:widowControl/>
              <w:suppressLineNumbers w:val="0"/>
              <w:spacing w:line="240" w:lineRule="auto"/>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红线隐患</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33B2">
            <w:pPr>
              <w:keepNext w:val="0"/>
              <w:keepLines w:val="0"/>
              <w:widowControl/>
              <w:suppressLineNumbers w:val="0"/>
              <w:spacing w:line="240" w:lineRule="auto"/>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细化描述</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A72F">
            <w:pPr>
              <w:keepNext w:val="0"/>
              <w:keepLines w:val="0"/>
              <w:widowControl/>
              <w:suppressLineNumbers w:val="0"/>
              <w:spacing w:line="240" w:lineRule="auto"/>
              <w:jc w:val="center"/>
              <w:textAlignment w:val="center"/>
              <w:rPr>
                <w:rFonts w:hint="eastAsia" w:ascii="宋体" w:hAnsi="宋体" w:eastAsia="宋体" w:cs="宋体"/>
                <w:b w:val="0"/>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责任单位</w:t>
            </w:r>
          </w:p>
        </w:tc>
      </w:tr>
      <w:tr w14:paraId="672A9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944" w:hRule="atLeast"/>
          <w:tblHead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389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672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资料</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CBF0">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1、无检验检测报告、使用登记证、安装方案或相关专项论证报告、设备月检记录；</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2、设备实际状况与资料不符。</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9A1A">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1、无有效安装检验报告；</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2、按规定年限超期1个月（含）以上未做主要受力构件无损检测；</w:t>
            </w:r>
          </w:p>
          <w:p w14:paraId="5408BC5A">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3、设备超过JGJ189使用年限，未做安全评估；</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4、按规定时间超过1个月未办理使用登记；</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5、未提供安装方案；特殊形式附墙及基础等无专项论证报告；</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6、无检查前三个月月度检查记录；</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7、设备实际状况与资料不符。</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C97B">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1、总包（使用）单位、监理单位</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2、安装（维保）单位</w:t>
            </w:r>
          </w:p>
        </w:tc>
      </w:tr>
      <w:tr w14:paraId="3EC98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41" w:hRule="atLeast"/>
          <w:tblHead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410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D5E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基础</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8D14">
            <w:pPr>
              <w:keepNext w:val="0"/>
              <w:keepLines w:val="0"/>
              <w:pageBreakBefore w:val="0"/>
              <w:widowControl/>
              <w:numPr>
                <w:ilvl w:val="0"/>
                <w:numId w:val="7"/>
              </w:numPr>
              <w:suppressLineNumbers w:val="0"/>
              <w:kinsoku/>
              <w:wordWrap/>
              <w:overflowPunct/>
              <w:topLinePunct w:val="0"/>
              <w:autoSpaceDE/>
              <w:autoSpaceDN/>
              <w:bidi w:val="0"/>
              <w:adjustRightInd/>
              <w:snapToGrid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基础承台尺寸不符合使用说明书或方案的规定；</w:t>
            </w:r>
          </w:p>
          <w:p w14:paraId="6F5C05FA">
            <w:pPr>
              <w:keepNext w:val="0"/>
              <w:keepLines w:val="0"/>
              <w:pageBreakBefore w:val="0"/>
              <w:widowControl/>
              <w:numPr>
                <w:ilvl w:val="0"/>
                <w:numId w:val="7"/>
              </w:numPr>
              <w:suppressLineNumbers w:val="0"/>
              <w:kinsoku/>
              <w:wordWrap/>
              <w:overflowPunct/>
              <w:topLinePunct w:val="0"/>
              <w:autoSpaceDE/>
              <w:autoSpaceDN/>
              <w:bidi w:val="0"/>
              <w:adjustRightInd/>
              <w:snapToGrid w:val="0"/>
              <w:spacing w:line="240" w:lineRule="auto"/>
              <w:jc w:val="both"/>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采用旧标准节作为预埋节；预埋螺杆螺母规格不配套；</w:t>
            </w:r>
          </w:p>
          <w:p w14:paraId="5F12986F">
            <w:pPr>
              <w:keepNext w:val="0"/>
              <w:keepLines w:val="0"/>
              <w:pageBreakBefore w:val="0"/>
              <w:widowControl/>
              <w:numPr>
                <w:ilvl w:val="0"/>
                <w:numId w:val="7"/>
              </w:numPr>
              <w:suppressLineNumbers w:val="0"/>
              <w:kinsoku/>
              <w:wordWrap/>
              <w:overflowPunct/>
              <w:topLinePunct w:val="0"/>
              <w:autoSpaceDE/>
              <w:autoSpaceDN/>
              <w:bidi w:val="0"/>
              <w:adjustRightInd/>
              <w:snapToGrid w:val="0"/>
              <w:spacing w:line="240" w:lineRule="auto"/>
              <w:jc w:val="both"/>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格构柱组合基础不符合专项方案要求；</w:t>
            </w:r>
          </w:p>
          <w:p w14:paraId="65E3F565">
            <w:pPr>
              <w:keepNext w:val="0"/>
              <w:keepLines w:val="0"/>
              <w:pageBreakBefore w:val="0"/>
              <w:widowControl/>
              <w:numPr>
                <w:ilvl w:val="0"/>
                <w:numId w:val="7"/>
              </w:numPr>
              <w:suppressLineNumbers w:val="0"/>
              <w:kinsoku/>
              <w:wordWrap/>
              <w:overflowPunct/>
              <w:topLinePunct w:val="0"/>
              <w:autoSpaceDE/>
              <w:autoSpaceDN/>
              <w:bidi w:val="0"/>
              <w:adjustRightInd/>
              <w:snapToGrid w:val="0"/>
              <w:spacing w:line="240" w:lineRule="auto"/>
              <w:jc w:val="both"/>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内爬、外挂基础不符合要求。</w:t>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2ED7">
            <w:pPr>
              <w:keepNext w:val="0"/>
              <w:keepLines w:val="0"/>
              <w:pageBreakBefore w:val="0"/>
              <w:widowControl/>
              <w:numPr>
                <w:ilvl w:val="0"/>
                <w:numId w:val="8"/>
              </w:numPr>
              <w:suppressLineNumbers w:val="0"/>
              <w:kinsoku/>
              <w:wordWrap/>
              <w:overflowPunct/>
              <w:topLinePunct w:val="0"/>
              <w:autoSpaceDE/>
              <w:autoSpaceDN/>
              <w:bidi w:val="0"/>
              <w:adjustRightInd/>
              <w:snapToGrid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在不打桩或不能证明桩与承台可靠连接情况下，基础承台尺寸与说明书缩小比例超过10%（含）且与专项方案不符；</w:t>
            </w:r>
          </w:p>
          <w:p w14:paraId="04067667">
            <w:pPr>
              <w:keepNext w:val="0"/>
              <w:keepLines w:val="0"/>
              <w:pageBreakBefore w:val="0"/>
              <w:widowControl/>
              <w:numPr>
                <w:ilvl w:val="0"/>
                <w:numId w:val="8"/>
              </w:numPr>
              <w:suppressLineNumbers w:val="0"/>
              <w:kinsoku/>
              <w:wordWrap/>
              <w:overflowPunct/>
              <w:topLinePunct w:val="0"/>
              <w:autoSpaceDE/>
              <w:autoSpaceDN/>
              <w:bidi w:val="0"/>
              <w:adjustRightInd/>
              <w:snapToGrid w:val="0"/>
              <w:spacing w:line="240" w:lineRule="auto"/>
              <w:jc w:val="both"/>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旧标准节或用旧标准节改制作为预埋节；任何一根预埋螺杆规格与双螺母规格不配套；</w:t>
            </w:r>
          </w:p>
          <w:p w14:paraId="2DC68E10">
            <w:pPr>
              <w:keepNext w:val="0"/>
              <w:keepLines w:val="0"/>
              <w:pageBreakBefore w:val="0"/>
              <w:widowControl/>
              <w:numPr>
                <w:ilvl w:val="0"/>
                <w:numId w:val="8"/>
              </w:numPr>
              <w:suppressLineNumbers w:val="0"/>
              <w:kinsoku/>
              <w:wordWrap/>
              <w:overflowPunct/>
              <w:topLinePunct w:val="0"/>
              <w:autoSpaceDE/>
              <w:autoSpaceDN/>
              <w:bidi w:val="0"/>
              <w:adjustRightInd/>
              <w:snapToGrid w:val="0"/>
              <w:spacing w:line="240" w:lineRule="auto"/>
              <w:jc w:val="both"/>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构格柱基础土方开挖后，连续两层未加焊围撑；构格柱倾斜率超过5%未编制方案做好加固措施；</w:t>
            </w:r>
          </w:p>
          <w:p w14:paraId="6A599B06">
            <w:pPr>
              <w:keepNext w:val="0"/>
              <w:keepLines w:val="0"/>
              <w:pageBreakBefore w:val="0"/>
              <w:widowControl/>
              <w:numPr>
                <w:ilvl w:val="0"/>
                <w:numId w:val="8"/>
              </w:numPr>
              <w:suppressLineNumbers w:val="0"/>
              <w:kinsoku/>
              <w:wordWrap/>
              <w:overflowPunct/>
              <w:topLinePunct w:val="0"/>
              <w:autoSpaceDE/>
              <w:autoSpaceDN/>
              <w:bidi w:val="0"/>
              <w:adjustRightInd/>
              <w:snapToGrid w:val="0"/>
              <w:spacing w:line="240" w:lineRule="auto"/>
              <w:jc w:val="both"/>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内爬、外挂塔机基础承重结构（梁）截面小于专项方案要求，与建筑结构固定不可靠，发生松动，搁置重叠量不足，有脱出现象。</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DB03">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1、总包（使用）单位、监理单位</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2、安装（维保）单位</w:t>
            </w:r>
          </w:p>
        </w:tc>
      </w:tr>
      <w:tr w14:paraId="6738C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254" w:hRule="atLeast"/>
          <w:tblHeader/>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133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F803">
            <w:pPr>
              <w:keepNext w:val="0"/>
              <w:keepLines w:val="0"/>
              <w:widowControl/>
              <w:suppressLineNumbers w:val="0"/>
              <w:spacing w:line="240" w:lineRule="auto"/>
              <w:ind w:firstLine="0" w:firstLineChars="0"/>
              <w:jc w:val="center"/>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作业环境</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ECEF">
            <w:pPr>
              <w:keepNext w:val="0"/>
              <w:keepLines w:val="0"/>
              <w:widowControl/>
              <w:suppressLineNumbers w:val="0"/>
              <w:spacing w:line="240" w:lineRule="auto"/>
              <w:ind w:firstLine="0" w:firstLineChars="0"/>
              <w:jc w:val="both"/>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群塔作业安全距离及与建筑物、架空线距离严重不足，未编制相应保护方案、设置相应防护措施。</w:t>
            </w:r>
            <w:r>
              <w:rPr>
                <w:rFonts w:hint="eastAsia" w:ascii="宋体" w:hAnsi="宋体" w:eastAsia="宋体" w:cs="宋体"/>
                <w:b w:val="0"/>
                <w:i w:val="0"/>
                <w:iCs w:val="0"/>
                <w:color w:val="000000"/>
                <w:kern w:val="0"/>
                <w:sz w:val="21"/>
                <w:szCs w:val="21"/>
                <w:u w:val="none"/>
                <w:lang w:val="en-US" w:eastAsia="zh-CN" w:bidi="ar"/>
              </w:rPr>
              <w:br w:type="textWrapping"/>
            </w:r>
          </w:p>
        </w:tc>
        <w:tc>
          <w:tcPr>
            <w:tcW w:w="8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41B6">
            <w:pPr>
              <w:keepNext w:val="0"/>
              <w:keepLines w:val="0"/>
              <w:widowControl/>
              <w:suppressLineNumbers w:val="0"/>
              <w:spacing w:line="240" w:lineRule="auto"/>
              <w:jc w:val="both"/>
              <w:textAlignment w:val="top"/>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1、塔机尾部与周围建筑物及其外围施工设施之间的安全距离小于0.4m（含）；</w:t>
            </w:r>
          </w:p>
          <w:p w14:paraId="2346BF85">
            <w:pPr>
              <w:keepNext w:val="0"/>
              <w:keepLines w:val="0"/>
              <w:widowControl/>
              <w:suppressLineNumbers w:val="0"/>
              <w:spacing w:line="240" w:lineRule="auto"/>
              <w:jc w:val="both"/>
              <w:textAlignment w:val="top"/>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两台塔机之间，低位塔机起重臂端部与另一台塔机塔身之间距离小于1.2m（含）；处于高位塔机的最低位置的部件(吊钩升至最高点或平衡重的最低部位)与低位塔机中处于最高位置部件之间的垂直距离小于1m（含）；</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3、塔机任何部位与架空线距离小于下表要求规定距离的80%。</w:t>
            </w:r>
          </w:p>
          <w:tbl>
            <w:tblPr>
              <w:tblStyle w:val="16"/>
              <w:tblpPr w:leftFromText="180" w:rightFromText="180" w:vertAnchor="text" w:horzAnchor="page" w:tblpXSpec="center" w:tblpY="47"/>
              <w:tblOverlap w:val="never"/>
              <w:tblW w:w="6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750"/>
              <w:gridCol w:w="750"/>
              <w:gridCol w:w="750"/>
              <w:gridCol w:w="750"/>
              <w:gridCol w:w="750"/>
              <w:gridCol w:w="750"/>
              <w:gridCol w:w="750"/>
            </w:tblGrid>
            <w:tr w14:paraId="340A8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049" w:type="dxa"/>
                  <w:vMerge w:val="restart"/>
                  <w:noWrap w:val="0"/>
                  <w:vAlign w:val="center"/>
                </w:tcPr>
                <w:p w14:paraId="1BBDDF1F">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安全</w:t>
                  </w:r>
                </w:p>
                <w:p w14:paraId="5ACF699B">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距离</w:t>
                  </w:r>
                </w:p>
                <w:p w14:paraId="256C2FC2">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（m）</w:t>
                  </w:r>
                </w:p>
              </w:tc>
              <w:tc>
                <w:tcPr>
                  <w:tcW w:w="5250" w:type="dxa"/>
                  <w:gridSpan w:val="7"/>
                  <w:noWrap w:val="0"/>
                  <w:vAlign w:val="center"/>
                </w:tcPr>
                <w:p w14:paraId="5052E172">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电压（kV）</w:t>
                  </w:r>
                </w:p>
              </w:tc>
            </w:tr>
            <w:tr w14:paraId="1E2CE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1049" w:type="dxa"/>
                  <w:vMerge w:val="continue"/>
                  <w:noWrap w:val="0"/>
                  <w:vAlign w:val="center"/>
                </w:tcPr>
                <w:p w14:paraId="4D675FDE">
                  <w:pPr>
                    <w:tabs>
                      <w:tab w:val="right" w:pos="8820"/>
                    </w:tabs>
                    <w:spacing w:line="240" w:lineRule="exact"/>
                    <w:jc w:val="both"/>
                    <w:rPr>
                      <w:rFonts w:hint="eastAsia" w:ascii="宋体" w:hAnsi="宋体"/>
                      <w:b w:val="0"/>
                      <w:color w:val="000000"/>
                      <w:sz w:val="18"/>
                      <w:szCs w:val="18"/>
                    </w:rPr>
                  </w:pPr>
                </w:p>
              </w:tc>
              <w:tc>
                <w:tcPr>
                  <w:tcW w:w="750" w:type="dxa"/>
                  <w:noWrap w:val="0"/>
                  <w:vAlign w:val="center"/>
                </w:tcPr>
                <w:p w14:paraId="74242B6F">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＜1</w:t>
                  </w:r>
                </w:p>
              </w:tc>
              <w:tc>
                <w:tcPr>
                  <w:tcW w:w="750" w:type="dxa"/>
                  <w:noWrap w:val="0"/>
                  <w:vAlign w:val="center"/>
                </w:tcPr>
                <w:p w14:paraId="4265A5E2">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10</w:t>
                  </w:r>
                </w:p>
              </w:tc>
              <w:tc>
                <w:tcPr>
                  <w:tcW w:w="750" w:type="dxa"/>
                  <w:noWrap w:val="0"/>
                  <w:vAlign w:val="center"/>
                </w:tcPr>
                <w:p w14:paraId="3C9ED7E7">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35</w:t>
                  </w:r>
                </w:p>
              </w:tc>
              <w:tc>
                <w:tcPr>
                  <w:tcW w:w="750" w:type="dxa"/>
                  <w:noWrap w:val="0"/>
                  <w:vAlign w:val="center"/>
                </w:tcPr>
                <w:p w14:paraId="1F0D6FA5">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110</w:t>
                  </w:r>
                </w:p>
              </w:tc>
              <w:tc>
                <w:tcPr>
                  <w:tcW w:w="750" w:type="dxa"/>
                  <w:noWrap w:val="0"/>
                  <w:vAlign w:val="center"/>
                </w:tcPr>
                <w:p w14:paraId="7C60D4A9">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220</w:t>
                  </w:r>
                </w:p>
              </w:tc>
              <w:tc>
                <w:tcPr>
                  <w:tcW w:w="750" w:type="dxa"/>
                  <w:noWrap w:val="0"/>
                  <w:vAlign w:val="center"/>
                </w:tcPr>
                <w:p w14:paraId="12295184">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330</w:t>
                  </w:r>
                </w:p>
              </w:tc>
              <w:tc>
                <w:tcPr>
                  <w:tcW w:w="750" w:type="dxa"/>
                  <w:noWrap w:val="0"/>
                  <w:vAlign w:val="center"/>
                </w:tcPr>
                <w:p w14:paraId="4C9FF9E6">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500</w:t>
                  </w:r>
                </w:p>
              </w:tc>
            </w:tr>
            <w:tr w14:paraId="4D9AD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049" w:type="dxa"/>
                  <w:noWrap w:val="0"/>
                  <w:vAlign w:val="center"/>
                </w:tcPr>
                <w:p w14:paraId="1B37CBA6">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沿垂直</w:t>
                  </w:r>
                </w:p>
                <w:p w14:paraId="3E73903E">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方向</w:t>
                  </w:r>
                </w:p>
              </w:tc>
              <w:tc>
                <w:tcPr>
                  <w:tcW w:w="750" w:type="dxa"/>
                  <w:noWrap w:val="0"/>
                  <w:vAlign w:val="center"/>
                </w:tcPr>
                <w:p w14:paraId="2DF9FEE5">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1.5</w:t>
                  </w:r>
                </w:p>
              </w:tc>
              <w:tc>
                <w:tcPr>
                  <w:tcW w:w="750" w:type="dxa"/>
                  <w:noWrap w:val="0"/>
                  <w:vAlign w:val="center"/>
                </w:tcPr>
                <w:p w14:paraId="67609187">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3.0</w:t>
                  </w:r>
                </w:p>
              </w:tc>
              <w:tc>
                <w:tcPr>
                  <w:tcW w:w="750" w:type="dxa"/>
                  <w:noWrap w:val="0"/>
                  <w:vAlign w:val="center"/>
                </w:tcPr>
                <w:p w14:paraId="6AC9C7A7">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4.0</w:t>
                  </w:r>
                </w:p>
              </w:tc>
              <w:tc>
                <w:tcPr>
                  <w:tcW w:w="750" w:type="dxa"/>
                  <w:noWrap w:val="0"/>
                  <w:vAlign w:val="center"/>
                </w:tcPr>
                <w:p w14:paraId="75B8D70C">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5.0</w:t>
                  </w:r>
                </w:p>
              </w:tc>
              <w:tc>
                <w:tcPr>
                  <w:tcW w:w="750" w:type="dxa"/>
                  <w:noWrap w:val="0"/>
                  <w:vAlign w:val="center"/>
                </w:tcPr>
                <w:p w14:paraId="6399D1B8">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6.0</w:t>
                  </w:r>
                </w:p>
              </w:tc>
              <w:tc>
                <w:tcPr>
                  <w:tcW w:w="750" w:type="dxa"/>
                  <w:noWrap w:val="0"/>
                  <w:vAlign w:val="center"/>
                </w:tcPr>
                <w:p w14:paraId="029070BD">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7.0</w:t>
                  </w:r>
                </w:p>
              </w:tc>
              <w:tc>
                <w:tcPr>
                  <w:tcW w:w="750" w:type="dxa"/>
                  <w:noWrap w:val="0"/>
                  <w:vAlign w:val="center"/>
                </w:tcPr>
                <w:p w14:paraId="3BA56BF7">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8.5</w:t>
                  </w:r>
                </w:p>
              </w:tc>
            </w:tr>
            <w:tr w14:paraId="5AD71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1049" w:type="dxa"/>
                  <w:noWrap w:val="0"/>
                  <w:vAlign w:val="center"/>
                </w:tcPr>
                <w:p w14:paraId="4104A272">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沿水平</w:t>
                  </w:r>
                </w:p>
                <w:p w14:paraId="654C2907">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方向</w:t>
                  </w:r>
                </w:p>
              </w:tc>
              <w:tc>
                <w:tcPr>
                  <w:tcW w:w="750" w:type="dxa"/>
                  <w:noWrap w:val="0"/>
                  <w:vAlign w:val="center"/>
                </w:tcPr>
                <w:p w14:paraId="3B986940">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1.5</w:t>
                  </w:r>
                </w:p>
              </w:tc>
              <w:tc>
                <w:tcPr>
                  <w:tcW w:w="750" w:type="dxa"/>
                  <w:noWrap w:val="0"/>
                  <w:vAlign w:val="center"/>
                </w:tcPr>
                <w:p w14:paraId="53A52CEA">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2.0</w:t>
                  </w:r>
                </w:p>
              </w:tc>
              <w:tc>
                <w:tcPr>
                  <w:tcW w:w="750" w:type="dxa"/>
                  <w:noWrap w:val="0"/>
                  <w:vAlign w:val="center"/>
                </w:tcPr>
                <w:p w14:paraId="5F1189AD">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3.5</w:t>
                  </w:r>
                </w:p>
              </w:tc>
              <w:tc>
                <w:tcPr>
                  <w:tcW w:w="750" w:type="dxa"/>
                  <w:noWrap w:val="0"/>
                  <w:vAlign w:val="center"/>
                </w:tcPr>
                <w:p w14:paraId="21B5DFF6">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4.0</w:t>
                  </w:r>
                </w:p>
              </w:tc>
              <w:tc>
                <w:tcPr>
                  <w:tcW w:w="750" w:type="dxa"/>
                  <w:noWrap w:val="0"/>
                  <w:vAlign w:val="center"/>
                </w:tcPr>
                <w:p w14:paraId="0D7CC621">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6.0</w:t>
                  </w:r>
                </w:p>
              </w:tc>
              <w:tc>
                <w:tcPr>
                  <w:tcW w:w="750" w:type="dxa"/>
                  <w:noWrap w:val="0"/>
                  <w:vAlign w:val="center"/>
                </w:tcPr>
                <w:p w14:paraId="7A13A5F9">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7.0</w:t>
                  </w:r>
                </w:p>
              </w:tc>
              <w:tc>
                <w:tcPr>
                  <w:tcW w:w="750" w:type="dxa"/>
                  <w:noWrap w:val="0"/>
                  <w:vAlign w:val="center"/>
                </w:tcPr>
                <w:p w14:paraId="7174F7C9">
                  <w:pPr>
                    <w:tabs>
                      <w:tab w:val="right" w:pos="8820"/>
                    </w:tabs>
                    <w:spacing w:line="240" w:lineRule="exact"/>
                    <w:jc w:val="both"/>
                    <w:rPr>
                      <w:rFonts w:hint="eastAsia" w:ascii="宋体" w:hAnsi="宋体"/>
                      <w:b w:val="0"/>
                      <w:color w:val="000000"/>
                      <w:sz w:val="18"/>
                      <w:szCs w:val="18"/>
                    </w:rPr>
                  </w:pPr>
                  <w:r>
                    <w:rPr>
                      <w:rFonts w:hint="eastAsia" w:ascii="宋体" w:hAnsi="宋体"/>
                      <w:b w:val="0"/>
                      <w:color w:val="000000"/>
                      <w:sz w:val="18"/>
                      <w:szCs w:val="18"/>
                    </w:rPr>
                    <w:t>8.5</w:t>
                  </w:r>
                </w:p>
              </w:tc>
            </w:tr>
          </w:tbl>
          <w:p w14:paraId="3B6DAB8F">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3952">
            <w:pPr>
              <w:keepNext w:val="0"/>
              <w:keepLines w:val="0"/>
              <w:widowControl/>
              <w:numPr>
                <w:ilvl w:val="0"/>
                <w:numId w:val="9"/>
              </w:numPr>
              <w:suppressLineNumbers w:val="0"/>
              <w:spacing w:line="240" w:lineRule="auto"/>
              <w:ind w:firstLine="0" w:firstLineChars="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总包（使用）单位、监理单位</w:t>
            </w:r>
          </w:p>
          <w:p w14:paraId="02F67195">
            <w:pPr>
              <w:keepNext w:val="0"/>
              <w:keepLines w:val="0"/>
              <w:widowControl/>
              <w:numPr>
                <w:ilvl w:val="-1"/>
                <w:numId w:val="0"/>
              </w:numPr>
              <w:suppressLineNumbers w:val="0"/>
              <w:spacing w:line="240" w:lineRule="auto"/>
              <w:ind w:firstLine="0" w:firstLineChars="0"/>
              <w:jc w:val="left"/>
              <w:textAlignment w:val="center"/>
              <w:rPr>
                <w:rFonts w:hint="eastAsia" w:ascii="宋体" w:hAnsi="宋体" w:eastAsia="宋体" w:cs="宋体"/>
                <w:b w:val="0"/>
                <w:i w:val="0"/>
                <w:iCs w:val="0"/>
                <w:color w:val="000000"/>
                <w:kern w:val="2"/>
                <w:sz w:val="21"/>
                <w:szCs w:val="21"/>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2、安装（维保）单位</w:t>
            </w:r>
          </w:p>
        </w:tc>
      </w:tr>
    </w:tbl>
    <w:p w14:paraId="5AD52BAB">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宋体" w:hAnsi="宋体" w:eastAsia="宋体" w:cs="宋体"/>
          <w:b w:val="0"/>
          <w:bCs w:val="0"/>
          <w:kern w:val="2"/>
          <w:sz w:val="24"/>
          <w:szCs w:val="24"/>
          <w:shd w:val="clear" w:fill="FFFFFF"/>
          <w:lang w:val="en-US" w:eastAsia="zh-CN" w:bidi="ar-SA"/>
        </w:rPr>
      </w:pPr>
      <w:r>
        <w:rPr>
          <w:rFonts w:hint="eastAsia" w:ascii="宋体" w:hAnsi="宋体" w:eastAsia="宋体" w:cs="宋体"/>
          <w:b w:val="0"/>
          <w:bCs w:val="0"/>
          <w:kern w:val="2"/>
          <w:sz w:val="24"/>
          <w:szCs w:val="24"/>
          <w:shd w:val="clear" w:fill="FFFFFF"/>
          <w:lang w:val="en-US" w:eastAsia="zh-CN" w:bidi="ar-SA"/>
        </w:rPr>
        <w:t xml:space="preserve">    </w:t>
      </w:r>
    </w:p>
    <w:tbl>
      <w:tblPr>
        <w:tblStyle w:val="16"/>
        <w:tblW w:w="140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
        <w:gridCol w:w="714"/>
        <w:gridCol w:w="3016"/>
        <w:gridCol w:w="8067"/>
        <w:gridCol w:w="1867"/>
      </w:tblGrid>
      <w:tr w14:paraId="4AEA96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C9BA">
            <w:pPr>
              <w:keepNext w:val="0"/>
              <w:keepLines w:val="0"/>
              <w:widowControl/>
              <w:suppressLineNumbers w:val="0"/>
              <w:spacing w:line="240" w:lineRule="auto"/>
              <w:ind w:firstLine="0" w:firstLineChars="0"/>
              <w:jc w:val="center"/>
              <w:textAlignment w:val="center"/>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i w:val="0"/>
                <w:iCs w:val="0"/>
                <w:color w:val="000000"/>
                <w:kern w:val="0"/>
                <w:sz w:val="21"/>
                <w:szCs w:val="21"/>
                <w:u w:val="none"/>
                <w:lang w:val="en-US" w:eastAsia="zh-CN" w:bidi="ar"/>
              </w:rPr>
              <w:t>序号</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99EF">
            <w:pPr>
              <w:keepNext w:val="0"/>
              <w:keepLines w:val="0"/>
              <w:widowControl/>
              <w:suppressLineNumbers w:val="0"/>
              <w:spacing w:line="240" w:lineRule="auto"/>
              <w:ind w:firstLine="0" w:firstLineChars="0"/>
              <w:jc w:val="center"/>
              <w:textAlignment w:val="center"/>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i w:val="0"/>
                <w:iCs w:val="0"/>
                <w:color w:val="000000"/>
                <w:kern w:val="0"/>
                <w:sz w:val="21"/>
                <w:szCs w:val="21"/>
                <w:u w:val="none"/>
                <w:lang w:val="en-US" w:eastAsia="zh-CN" w:bidi="ar"/>
              </w:rPr>
              <w:t>分类</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86DC">
            <w:pPr>
              <w:keepNext w:val="0"/>
              <w:keepLines w:val="0"/>
              <w:widowControl/>
              <w:suppressLineNumbers w:val="0"/>
              <w:spacing w:line="240" w:lineRule="auto"/>
              <w:ind w:firstLine="0" w:firstLineChars="0"/>
              <w:jc w:val="center"/>
              <w:textAlignment w:val="center"/>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i w:val="0"/>
                <w:iCs w:val="0"/>
                <w:color w:val="000000"/>
                <w:kern w:val="0"/>
                <w:sz w:val="21"/>
                <w:szCs w:val="21"/>
                <w:u w:val="none"/>
                <w:lang w:val="en-US" w:eastAsia="zh-CN" w:bidi="ar"/>
              </w:rPr>
              <w:t>红线隐患</w:t>
            </w:r>
          </w:p>
        </w:tc>
        <w:tc>
          <w:tcPr>
            <w:tcW w:w="8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7579">
            <w:pPr>
              <w:keepNext w:val="0"/>
              <w:keepLines w:val="0"/>
              <w:widowControl/>
              <w:suppressLineNumbers w:val="0"/>
              <w:spacing w:line="240" w:lineRule="auto"/>
              <w:ind w:firstLine="0" w:firstLineChars="0"/>
              <w:jc w:val="center"/>
              <w:textAlignment w:val="center"/>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i w:val="0"/>
                <w:iCs w:val="0"/>
                <w:color w:val="000000"/>
                <w:kern w:val="0"/>
                <w:sz w:val="21"/>
                <w:szCs w:val="21"/>
                <w:u w:val="none"/>
                <w:lang w:val="en-US" w:eastAsia="zh-CN" w:bidi="ar"/>
              </w:rPr>
              <w:t>细化描述</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65EE">
            <w:pPr>
              <w:keepNext w:val="0"/>
              <w:keepLines w:val="0"/>
              <w:widowControl/>
              <w:suppressLineNumbers w:val="0"/>
              <w:ind w:firstLine="0" w:firstLineChars="0"/>
              <w:jc w:val="center"/>
              <w:textAlignment w:val="center"/>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i w:val="0"/>
                <w:iCs w:val="0"/>
                <w:color w:val="000000"/>
                <w:kern w:val="0"/>
                <w:sz w:val="21"/>
                <w:szCs w:val="21"/>
                <w:u w:val="none"/>
                <w:lang w:val="en-US" w:eastAsia="zh-CN" w:bidi="ar"/>
              </w:rPr>
              <w:t>责任单位</w:t>
            </w:r>
          </w:p>
        </w:tc>
      </w:tr>
      <w:tr w14:paraId="412959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68C878">
            <w:pPr>
              <w:keepNext w:val="0"/>
              <w:keepLines w:val="0"/>
              <w:widowControl/>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4</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2EA570">
            <w:pPr>
              <w:keepNext w:val="0"/>
              <w:keepLines w:val="0"/>
              <w:widowControl/>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主要受力结构件</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8E7B">
            <w:pPr>
              <w:keepNext w:val="0"/>
              <w:keepLines w:val="0"/>
              <w:widowControl/>
              <w:suppressLineNumbers w:val="0"/>
              <w:spacing w:line="240" w:lineRule="auto"/>
              <w:ind w:right="-61" w:rightChars="-19"/>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1、独立起升高度和最高附着以上的塔身悬高；</w:t>
            </w:r>
          </w:p>
          <w:p w14:paraId="0B06747A">
            <w:pPr>
              <w:keepNext w:val="0"/>
              <w:keepLines w:val="0"/>
              <w:widowControl/>
              <w:suppressLineNumbers w:val="0"/>
              <w:spacing w:line="240" w:lineRule="auto"/>
              <w:ind w:right="-128" w:rightChars="-40"/>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2、塔身垂直度不符合规范要求。</w:t>
            </w:r>
          </w:p>
        </w:tc>
        <w:tc>
          <w:tcPr>
            <w:tcW w:w="8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5361">
            <w:pPr>
              <w:keepNext w:val="0"/>
              <w:keepLines w:val="0"/>
              <w:widowControl/>
              <w:suppressLineNumbers w:val="0"/>
              <w:spacing w:line="240" w:lineRule="auto"/>
              <w:jc w:val="both"/>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 xml:space="preserve">1、独立高度、最高附着以上的塔身悬高超过使用说明书规定1个标准节及以上； </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2、独立状态、3m/s风速下塔身（或附着状态下最高附着点以上塔身）轴心线的侧向垂直度允差大于6/1000；最高附着点以下塔身轴心线的侧向垂直度允差大于4/1000。</w:t>
            </w:r>
          </w:p>
        </w:tc>
        <w:tc>
          <w:tcPr>
            <w:tcW w:w="1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F66437">
            <w:pPr>
              <w:keepNext w:val="0"/>
              <w:keepLines w:val="0"/>
              <w:widowControl/>
              <w:numPr>
                <w:ilvl w:val="0"/>
                <w:numId w:val="1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安装（维保）单位</w:t>
            </w:r>
          </w:p>
          <w:p w14:paraId="7FD50250">
            <w:pPr>
              <w:keepNext w:val="0"/>
              <w:keepLines w:val="0"/>
              <w:widowControl/>
              <w:numPr>
                <w:ilvl w:val="-1"/>
                <w:numId w:val="0"/>
              </w:numPr>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2、总包（使用）单位、监理单位</w:t>
            </w:r>
          </w:p>
        </w:tc>
      </w:tr>
      <w:tr w14:paraId="24958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8"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AC3EF">
            <w:pPr>
              <w:keepNext w:val="0"/>
              <w:keepLines w:val="0"/>
              <w:widowControl/>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1A303">
            <w:pPr>
              <w:keepNext w:val="0"/>
              <w:keepLines w:val="0"/>
              <w:widowControl/>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6E16">
            <w:pPr>
              <w:keepNext w:val="0"/>
              <w:keepLines w:val="0"/>
              <w:widowControl/>
              <w:numPr>
                <w:ilvl w:val="0"/>
                <w:numId w:val="11"/>
              </w:numPr>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标准节、起重臂、塔帽等结构发生可见裂纹；</w:t>
            </w:r>
          </w:p>
          <w:p w14:paraId="537A35FF">
            <w:pPr>
              <w:keepNext w:val="0"/>
              <w:keepLines w:val="0"/>
              <w:widowControl/>
              <w:numPr>
                <w:ilvl w:val="0"/>
                <w:numId w:val="11"/>
              </w:numPr>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标准节、起重臂、塔帽等结构主弦杆锈蚀严重；</w:t>
            </w:r>
          </w:p>
          <w:p w14:paraId="71D5762B">
            <w:pPr>
              <w:keepNext w:val="0"/>
              <w:keepLines w:val="0"/>
              <w:widowControl/>
              <w:numPr>
                <w:ilvl w:val="0"/>
                <w:numId w:val="11"/>
              </w:numPr>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标准节、起重臂、塔帽等结构主弦杆明显塑性变形；</w:t>
            </w:r>
          </w:p>
          <w:p w14:paraId="2272B012">
            <w:pPr>
              <w:keepNext w:val="0"/>
              <w:keepLines w:val="0"/>
              <w:widowControl/>
              <w:numPr>
                <w:ilvl w:val="0"/>
                <w:numId w:val="11"/>
              </w:numPr>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color w:val="000000"/>
                <w:w w:val="100"/>
                <w:kern w:val="0"/>
                <w:sz w:val="21"/>
                <w:szCs w:val="21"/>
                <w:u w:val="none"/>
                <w:vertAlign w:val="baseline"/>
                <w:lang w:val="en-US" w:eastAsia="zh-CN" w:bidi="ar"/>
              </w:rPr>
              <w:t>塔身</w:t>
            </w:r>
            <w:r>
              <w:rPr>
                <w:rFonts w:hint="eastAsia" w:ascii="宋体" w:hAnsi="宋体" w:eastAsia="宋体" w:cs="宋体"/>
                <w:b w:val="0"/>
                <w:i w:val="0"/>
                <w:iCs w:val="0"/>
                <w:color w:val="000000"/>
                <w:kern w:val="0"/>
                <w:sz w:val="21"/>
                <w:szCs w:val="21"/>
                <w:u w:val="none"/>
                <w:lang w:val="en-US" w:eastAsia="zh-CN" w:bidi="ar"/>
              </w:rPr>
              <w:t>基础节、加强节、标准节</w:t>
            </w:r>
            <w:r>
              <w:rPr>
                <w:rFonts w:hint="eastAsia" w:ascii="宋体" w:hAnsi="宋体" w:eastAsia="宋体" w:cs="宋体"/>
                <w:color w:val="000000"/>
                <w:w w:val="100"/>
                <w:kern w:val="0"/>
                <w:sz w:val="21"/>
                <w:szCs w:val="21"/>
                <w:u w:val="none"/>
                <w:vertAlign w:val="baseline"/>
                <w:lang w:val="en-US" w:eastAsia="zh-CN" w:bidi="ar"/>
              </w:rPr>
              <w:t>等配置错误。</w:t>
            </w:r>
          </w:p>
        </w:tc>
        <w:tc>
          <w:tcPr>
            <w:tcW w:w="8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0F4F">
            <w:pPr>
              <w:keepNext w:val="0"/>
              <w:keepLines w:val="0"/>
              <w:widowControl/>
              <w:suppressLineNumbers w:val="0"/>
              <w:spacing w:line="240" w:lineRule="auto"/>
              <w:jc w:val="both"/>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1、主要受力结构件擅自改制焊接；</w:t>
            </w:r>
          </w:p>
          <w:p w14:paraId="01989BD6">
            <w:pPr>
              <w:keepNext w:val="0"/>
              <w:keepLines w:val="0"/>
              <w:widowControl/>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2、标准节、起重臂、塔帽等结构主弦杆发生可见裂纹；</w:t>
            </w:r>
          </w:p>
          <w:p w14:paraId="0E01268A">
            <w:pPr>
              <w:keepNext w:val="0"/>
              <w:keepLines w:val="0"/>
              <w:widowControl/>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3、标准节、起重臂、塔帽等结构主弦杆与连接套、耳板、踏步的焊接发生可见裂纹；或与斜腹杆脱开，或与斜腹杆裂纹3处及以上；</w:t>
            </w:r>
          </w:p>
          <w:p w14:paraId="535DB96C">
            <w:pPr>
              <w:keepNext w:val="0"/>
              <w:keepLines w:val="0"/>
              <w:widowControl/>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4、主要受力结构件主弦杆取端部、中部、尾部典型位置，每个位置测量3点，一个构件不少于20点其锈蚀量平均值达到或超过原厚度的10%；</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5、起重臂下弦杆轨道踏面磨损超过原厚度的30%；</w:t>
            </w:r>
          </w:p>
          <w:p w14:paraId="3BE69F12">
            <w:pPr>
              <w:keepNext w:val="0"/>
              <w:keepLines w:val="0"/>
              <w:widowControl/>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6、主要受力结构件杆件变形：</w:t>
            </w:r>
          </w:p>
          <w:p w14:paraId="6C0957D6">
            <w:pPr>
              <w:keepNext w:val="0"/>
              <w:keepLines w:val="0"/>
              <w:widowControl/>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1）各类主弦杆变形＞3/1000；</w:t>
            </w:r>
          </w:p>
          <w:p w14:paraId="529FC425">
            <w:pPr>
              <w:keepNext w:val="0"/>
              <w:keepLines w:val="0"/>
              <w:widowControl/>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2）塔身及动臂式起重臂腹杆变形＞18/1000或＞15/1000数量超过9%；</w:t>
            </w:r>
          </w:p>
          <w:p w14:paraId="5C8B7B5E">
            <w:pPr>
              <w:keepNext w:val="0"/>
              <w:keepLines w:val="0"/>
              <w:widowControl/>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3）水平变幅塔机起重臂腹杆变形＞30/1000或＞25/1000数量超过12%；</w:t>
            </w:r>
          </w:p>
          <w:p w14:paraId="1B8FE36C">
            <w:pPr>
              <w:keepNext w:val="0"/>
              <w:keepLines w:val="0"/>
              <w:widowControl/>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7、起重臂拉杆接头焊接点能观察部位有可见裂缝，杆件无受外力而引起的明显折弯；</w:t>
            </w:r>
          </w:p>
          <w:p w14:paraId="1EAD09D3">
            <w:pPr>
              <w:keepNext w:val="0"/>
              <w:keepLines w:val="0"/>
              <w:widowControl/>
              <w:suppressLineNumbers w:val="0"/>
              <w:spacing w:line="240" w:lineRule="auto"/>
              <w:jc w:val="both"/>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8、未按说明书配置相应基础节、加强节、标准节等</w:t>
            </w:r>
            <w:r>
              <w:rPr>
                <w:rFonts w:hint="eastAsia" w:ascii="宋体" w:hAnsi="宋体" w:eastAsia="宋体" w:cs="宋体"/>
                <w:color w:val="auto"/>
                <w:w w:val="100"/>
                <w:sz w:val="24"/>
                <w:szCs w:val="24"/>
                <w:vertAlign w:val="baseline"/>
                <w:lang w:val="en-US" w:eastAsia="zh-CN"/>
              </w:rPr>
              <w:t>。</w:t>
            </w: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70EF5">
            <w:pPr>
              <w:keepNext w:val="0"/>
              <w:keepLines w:val="0"/>
              <w:widowControl/>
              <w:numPr>
                <w:ilvl w:val="0"/>
                <w:numId w:val="10"/>
              </w:numPr>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p>
        </w:tc>
      </w:tr>
      <w:tr w14:paraId="477BB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24"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79D04">
            <w:pPr>
              <w:spacing w:line="240" w:lineRule="auto"/>
              <w:jc w:val="center"/>
              <w:rPr>
                <w:rFonts w:hint="eastAsia" w:ascii="宋体" w:hAnsi="宋体" w:eastAsia="宋体" w:cs="宋体"/>
                <w:b w:val="0"/>
                <w:i w:val="0"/>
                <w:iCs w:val="0"/>
                <w:color w:val="000000"/>
                <w:sz w:val="21"/>
                <w:szCs w:val="21"/>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F815E">
            <w:pPr>
              <w:spacing w:line="240" w:lineRule="auto"/>
              <w:jc w:val="center"/>
              <w:rPr>
                <w:rFonts w:hint="eastAsia" w:ascii="宋体" w:hAnsi="宋体" w:eastAsia="宋体" w:cs="宋体"/>
                <w:b w:val="0"/>
                <w:i w:val="0"/>
                <w:iCs w:val="0"/>
                <w:color w:val="000000"/>
                <w:sz w:val="21"/>
                <w:szCs w:val="21"/>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69E2">
            <w:pPr>
              <w:keepNext w:val="0"/>
              <w:keepLines w:val="0"/>
              <w:widowControl/>
              <w:numPr>
                <w:ilvl w:val="0"/>
                <w:numId w:val="12"/>
              </w:numPr>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主要受力杆件销轴连接开口销未打开；</w:t>
            </w:r>
          </w:p>
          <w:p w14:paraId="7A473B5C">
            <w:pPr>
              <w:keepNext w:val="0"/>
              <w:keepLines w:val="0"/>
              <w:widowControl/>
              <w:numPr>
                <w:ilvl w:val="0"/>
                <w:numId w:val="12"/>
              </w:numPr>
              <w:suppressLineNumbers w:val="0"/>
              <w:spacing w:line="240" w:lineRule="auto"/>
              <w:jc w:val="both"/>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塔身高强螺栓松动；</w:t>
            </w:r>
          </w:p>
          <w:p w14:paraId="2FB32D1E">
            <w:pPr>
              <w:keepNext w:val="0"/>
              <w:keepLines w:val="0"/>
              <w:widowControl/>
              <w:numPr>
                <w:ilvl w:val="0"/>
                <w:numId w:val="12"/>
              </w:numPr>
              <w:suppressLineNumbers w:val="0"/>
              <w:spacing w:line="240" w:lineRule="auto"/>
              <w:jc w:val="both"/>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轴端档板缺失或失效。</w:t>
            </w:r>
          </w:p>
        </w:tc>
        <w:tc>
          <w:tcPr>
            <w:tcW w:w="8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D18E">
            <w:pPr>
              <w:keepNext w:val="0"/>
              <w:keepLines w:val="0"/>
              <w:widowControl/>
              <w:numPr>
                <w:ilvl w:val="0"/>
                <w:numId w:val="13"/>
              </w:numPr>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主要受力杆件销轴连接开口销打开角度小于30°且数量达到5处及以上；未安装或者未打开数量达到1处；</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2、在平衡重侧塔身高强螺栓用手可以拧动且一个标准节连接面存在3颗及以上或一根主弦杆连接全部松动；</w:t>
            </w:r>
          </w:p>
          <w:p w14:paraId="507398B4">
            <w:pPr>
              <w:keepNext w:val="0"/>
              <w:keepLines w:val="0"/>
              <w:widowControl/>
              <w:numPr>
                <w:ilvl w:val="0"/>
                <w:numId w:val="0"/>
              </w:numPr>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3、轴端档板缺失、失效，销轴有脱出现象。</w:t>
            </w: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1C500">
            <w:pPr>
              <w:keepNext w:val="0"/>
              <w:keepLines w:val="0"/>
              <w:widowControl/>
              <w:numPr>
                <w:ilvl w:val="0"/>
                <w:numId w:val="10"/>
              </w:numPr>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p>
        </w:tc>
      </w:tr>
      <w:tr w14:paraId="533B3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76"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102D">
            <w:pPr>
              <w:spacing w:line="240" w:lineRule="auto"/>
              <w:jc w:val="center"/>
              <w:rPr>
                <w:rFonts w:hint="eastAsia"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5</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F313">
            <w:pPr>
              <w:spacing w:line="240" w:lineRule="auto"/>
              <w:jc w:val="center"/>
              <w:rPr>
                <w:rFonts w:hint="default" w:ascii="宋体" w:hAnsi="宋体" w:eastAsia="宋体" w:cs="宋体"/>
                <w:b w:val="0"/>
                <w:i w:val="0"/>
                <w:iCs w:val="0"/>
                <w:color w:val="000000"/>
                <w:sz w:val="21"/>
                <w:szCs w:val="21"/>
                <w:u w:val="none"/>
                <w:lang w:val="en-US" w:eastAsia="zh-CN"/>
              </w:rPr>
            </w:pPr>
            <w:r>
              <w:rPr>
                <w:rFonts w:hint="eastAsia" w:ascii="宋体" w:hAnsi="宋体" w:eastAsia="宋体" w:cs="宋体"/>
                <w:b w:val="0"/>
                <w:i w:val="0"/>
                <w:iCs w:val="0"/>
                <w:color w:val="000000"/>
                <w:sz w:val="21"/>
                <w:szCs w:val="21"/>
                <w:u w:val="none"/>
                <w:lang w:val="en-US" w:eastAsia="zh-CN"/>
              </w:rPr>
              <w:t>附着装置</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7A10">
            <w:pPr>
              <w:keepNext w:val="0"/>
              <w:keepLines w:val="0"/>
              <w:widowControl/>
              <w:numPr>
                <w:ilvl w:val="0"/>
                <w:numId w:val="14"/>
              </w:numPr>
              <w:suppressLineNumbers w:val="0"/>
              <w:spacing w:line="240" w:lineRule="auto"/>
              <w:ind w:right="0" w:rightChars="0"/>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附着杆固定方式不符合要求；</w:t>
            </w:r>
          </w:p>
          <w:p w14:paraId="0FB4FCAA">
            <w:pPr>
              <w:keepNext w:val="0"/>
              <w:keepLines w:val="0"/>
              <w:widowControl/>
              <w:numPr>
                <w:ilvl w:val="0"/>
                <w:numId w:val="14"/>
              </w:numPr>
              <w:suppressLineNumbers w:val="0"/>
              <w:spacing w:line="240" w:lineRule="auto"/>
              <w:jc w:val="both"/>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附着处建筑结构开裂，固定不可靠；</w:t>
            </w:r>
          </w:p>
          <w:p w14:paraId="4613B193">
            <w:pPr>
              <w:keepNext w:val="0"/>
              <w:keepLines w:val="0"/>
              <w:widowControl/>
              <w:numPr>
                <w:ilvl w:val="0"/>
                <w:numId w:val="14"/>
              </w:numPr>
              <w:suppressLineNumbers w:val="0"/>
              <w:spacing w:line="240" w:lineRule="auto"/>
              <w:jc w:val="both"/>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附着杆主弦杆发生可见裂纹。</w:t>
            </w:r>
          </w:p>
        </w:tc>
        <w:tc>
          <w:tcPr>
            <w:tcW w:w="8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6837">
            <w:pPr>
              <w:keepNext w:val="0"/>
              <w:keepLines w:val="0"/>
              <w:widowControl/>
              <w:numPr>
                <w:ilvl w:val="0"/>
                <w:numId w:val="15"/>
              </w:numPr>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附着杆与附着框、建筑结构全部采用焊接方式固接；</w:t>
            </w:r>
          </w:p>
          <w:p w14:paraId="6F972AF7">
            <w:pPr>
              <w:keepNext w:val="0"/>
              <w:keepLines w:val="0"/>
              <w:widowControl/>
              <w:numPr>
                <w:ilvl w:val="0"/>
                <w:numId w:val="15"/>
              </w:numPr>
              <w:suppressLineNumbers w:val="0"/>
              <w:spacing w:line="240" w:lineRule="auto"/>
              <w:jc w:val="both"/>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附着处建筑结构开裂，固定点存在拉脱现象；</w:t>
            </w:r>
          </w:p>
          <w:p w14:paraId="4D0C85E1">
            <w:pPr>
              <w:keepNext w:val="0"/>
              <w:keepLines w:val="0"/>
              <w:widowControl/>
              <w:numPr>
                <w:ilvl w:val="0"/>
                <w:numId w:val="15"/>
              </w:numPr>
              <w:suppressLineNumbers w:val="0"/>
              <w:spacing w:line="240" w:lineRule="auto"/>
              <w:jc w:val="both"/>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附着杆、附着框和附着座之间销轴连接不配套、开口销打开角度小于30°；</w:t>
            </w:r>
          </w:p>
          <w:p w14:paraId="6B71F25C">
            <w:pPr>
              <w:keepNext w:val="0"/>
              <w:keepLines w:val="0"/>
              <w:widowControl/>
              <w:numPr>
                <w:ilvl w:val="0"/>
                <w:numId w:val="15"/>
              </w:numPr>
              <w:suppressLineNumbers w:val="0"/>
              <w:spacing w:line="240" w:lineRule="auto"/>
              <w:jc w:val="both"/>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附着杆主弦杆存在可见裂纹。</w:t>
            </w:r>
          </w:p>
          <w:p w14:paraId="1FC575A4">
            <w:pPr>
              <w:keepNext w:val="0"/>
              <w:keepLines w:val="0"/>
              <w:widowControl/>
              <w:numPr>
                <w:ilvl w:val="-1"/>
                <w:numId w:val="0"/>
              </w:numPr>
              <w:suppressLineNumbers w:val="0"/>
              <w:spacing w:line="240" w:lineRule="auto"/>
              <w:jc w:val="both"/>
              <w:textAlignment w:val="center"/>
              <w:rPr>
                <w:rFonts w:hint="default" w:ascii="宋体" w:hAnsi="宋体" w:eastAsia="宋体" w:cs="宋体"/>
                <w:b w:val="0"/>
                <w:i w:val="0"/>
                <w:iCs w:val="0"/>
                <w:color w:val="000000"/>
                <w:kern w:val="0"/>
                <w:sz w:val="21"/>
                <w:szCs w:val="21"/>
                <w:u w:val="none"/>
                <w:lang w:val="en-US" w:eastAsia="zh-CN" w:bidi="ar"/>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BEB7">
            <w:pPr>
              <w:keepNext w:val="0"/>
              <w:keepLines w:val="0"/>
              <w:widowControl/>
              <w:numPr>
                <w:ilvl w:val="0"/>
                <w:numId w:val="16"/>
              </w:numPr>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安装（维保）单位</w:t>
            </w:r>
          </w:p>
          <w:p w14:paraId="3ED85041">
            <w:pPr>
              <w:keepNext w:val="0"/>
              <w:keepLines w:val="0"/>
              <w:widowControl/>
              <w:numPr>
                <w:ilvl w:val="-1"/>
                <w:numId w:val="0"/>
              </w:numPr>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2、总包（使用）单位、监理单位</w:t>
            </w:r>
          </w:p>
        </w:tc>
      </w:tr>
    </w:tbl>
    <w:p w14:paraId="36D74BF5">
      <w:pPr>
        <w:spacing w:line="240" w:lineRule="auto"/>
      </w:pPr>
    </w:p>
    <w:tbl>
      <w:tblPr>
        <w:tblStyle w:val="16"/>
        <w:tblW w:w="140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6"/>
        <w:gridCol w:w="740"/>
        <w:gridCol w:w="2984"/>
        <w:gridCol w:w="8100"/>
        <w:gridCol w:w="1850"/>
      </w:tblGrid>
      <w:tr w14:paraId="472CE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E286">
            <w:pPr>
              <w:keepNext w:val="0"/>
              <w:keepLines w:val="0"/>
              <w:widowControl/>
              <w:suppressLineNumbers w:val="0"/>
              <w:spacing w:line="240" w:lineRule="auto"/>
              <w:ind w:firstLine="0" w:firstLineChars="0"/>
              <w:jc w:val="center"/>
              <w:textAlignment w:val="center"/>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i w:val="0"/>
                <w:iCs w:val="0"/>
                <w:color w:val="000000"/>
                <w:kern w:val="0"/>
                <w:sz w:val="21"/>
                <w:szCs w:val="21"/>
                <w:u w:val="none"/>
                <w:lang w:val="en-US" w:eastAsia="zh-CN" w:bidi="ar"/>
              </w:rPr>
              <w:t>序号</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D469">
            <w:pPr>
              <w:keepNext w:val="0"/>
              <w:keepLines w:val="0"/>
              <w:widowControl/>
              <w:suppressLineNumbers w:val="0"/>
              <w:spacing w:line="240" w:lineRule="auto"/>
              <w:ind w:firstLine="0" w:firstLineChars="0"/>
              <w:jc w:val="center"/>
              <w:textAlignment w:val="center"/>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i w:val="0"/>
                <w:iCs w:val="0"/>
                <w:color w:val="000000"/>
                <w:kern w:val="0"/>
                <w:sz w:val="21"/>
                <w:szCs w:val="21"/>
                <w:u w:val="none"/>
                <w:lang w:val="en-US" w:eastAsia="zh-CN" w:bidi="ar"/>
              </w:rPr>
              <w:t>分类</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68DC">
            <w:pPr>
              <w:keepNext w:val="0"/>
              <w:keepLines w:val="0"/>
              <w:widowControl/>
              <w:suppressLineNumbers w:val="0"/>
              <w:spacing w:line="240" w:lineRule="auto"/>
              <w:ind w:firstLine="0" w:firstLineChars="0"/>
              <w:jc w:val="center"/>
              <w:textAlignment w:val="center"/>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i w:val="0"/>
                <w:iCs w:val="0"/>
                <w:color w:val="000000"/>
                <w:kern w:val="0"/>
                <w:sz w:val="21"/>
                <w:szCs w:val="21"/>
                <w:u w:val="none"/>
                <w:lang w:val="en-US" w:eastAsia="zh-CN" w:bidi="ar"/>
              </w:rPr>
              <w:t>红线隐患</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EEE2">
            <w:pPr>
              <w:keepNext w:val="0"/>
              <w:keepLines w:val="0"/>
              <w:widowControl/>
              <w:suppressLineNumbers w:val="0"/>
              <w:spacing w:line="240" w:lineRule="auto"/>
              <w:ind w:firstLine="0" w:firstLineChars="0"/>
              <w:jc w:val="center"/>
              <w:textAlignment w:val="center"/>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i w:val="0"/>
                <w:iCs w:val="0"/>
                <w:color w:val="000000"/>
                <w:kern w:val="0"/>
                <w:sz w:val="21"/>
                <w:szCs w:val="21"/>
                <w:u w:val="none"/>
                <w:lang w:val="en-US" w:eastAsia="zh-CN" w:bidi="ar"/>
              </w:rPr>
              <w:t>细化描述</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4A1F">
            <w:pPr>
              <w:keepNext w:val="0"/>
              <w:keepLines w:val="0"/>
              <w:widowControl/>
              <w:suppressLineNumbers w:val="0"/>
              <w:ind w:firstLine="0" w:firstLineChars="0"/>
              <w:jc w:val="center"/>
              <w:textAlignment w:val="center"/>
              <w:rPr>
                <w:rFonts w:hint="eastAsia" w:ascii="宋体" w:hAnsi="宋体" w:eastAsia="宋体" w:cs="宋体"/>
                <w:b w:val="0"/>
                <w:bCs/>
                <w:i w:val="0"/>
                <w:iCs w:val="0"/>
                <w:color w:val="000000"/>
                <w:kern w:val="2"/>
                <w:sz w:val="21"/>
                <w:szCs w:val="21"/>
                <w:u w:val="none"/>
                <w:lang w:val="en-US" w:eastAsia="zh-CN" w:bidi="ar-SA"/>
              </w:rPr>
            </w:pPr>
            <w:r>
              <w:rPr>
                <w:rFonts w:hint="eastAsia" w:ascii="宋体" w:hAnsi="宋体" w:eastAsia="宋体" w:cs="宋体"/>
                <w:b w:val="0"/>
                <w:bCs/>
                <w:i w:val="0"/>
                <w:iCs w:val="0"/>
                <w:color w:val="000000"/>
                <w:kern w:val="0"/>
                <w:sz w:val="21"/>
                <w:szCs w:val="21"/>
                <w:u w:val="none"/>
                <w:lang w:val="en-US" w:eastAsia="zh-CN" w:bidi="ar"/>
              </w:rPr>
              <w:t>责任单位</w:t>
            </w:r>
          </w:p>
        </w:tc>
      </w:tr>
      <w:tr w14:paraId="6C195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6DBEB9">
            <w:pPr>
              <w:keepNext w:val="0"/>
              <w:keepLines w:val="0"/>
              <w:widowControl/>
              <w:suppressLineNumbers w:val="0"/>
              <w:jc w:val="center"/>
              <w:textAlignment w:val="center"/>
              <w:rPr>
                <w:rFonts w:hint="eastAsia" w:ascii="宋体" w:hAnsi="宋体" w:eastAsia="宋体" w:cs="宋体"/>
                <w:b w:val="0"/>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6</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55716D">
            <w:pPr>
              <w:keepNext w:val="0"/>
              <w:keepLines w:val="0"/>
              <w:widowControl/>
              <w:numPr>
                <w:ilvl w:val="0"/>
                <w:numId w:val="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主要零部件</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15C6">
            <w:pPr>
              <w:keepNext w:val="0"/>
              <w:keepLines w:val="0"/>
              <w:widowControl/>
              <w:numPr>
                <w:ilvl w:val="0"/>
                <w:numId w:val="17"/>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钢丝绳达到报废标准；</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2、绳端固定不符合要求；</w:t>
            </w:r>
          </w:p>
          <w:p w14:paraId="49A1E930">
            <w:pPr>
              <w:keepNext w:val="0"/>
              <w:keepLines w:val="0"/>
              <w:widowControl/>
              <w:numPr>
                <w:ilvl w:val="-1"/>
                <w:numId w:val="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3、钢丝绳防脱保护装置未设置。</w:t>
            </w:r>
          </w:p>
          <w:p w14:paraId="20AFF1B9">
            <w:pPr>
              <w:keepNext w:val="0"/>
              <w:keepLines w:val="0"/>
              <w:widowControl/>
              <w:numPr>
                <w:ilvl w:val="-1"/>
                <w:numId w:val="0"/>
              </w:numPr>
              <w:suppressLineNumbers w:val="0"/>
              <w:spacing w:line="240" w:lineRule="auto"/>
              <w:jc w:val="left"/>
              <w:textAlignment w:val="center"/>
              <w:rPr>
                <w:rFonts w:hint="default" w:ascii="宋体" w:hAnsi="宋体" w:eastAsia="宋体" w:cs="宋体"/>
                <w:b w:val="0"/>
                <w:i w:val="0"/>
                <w:iCs w:val="0"/>
                <w:color w:val="000000"/>
                <w:kern w:val="0"/>
                <w:sz w:val="21"/>
                <w:szCs w:val="21"/>
                <w:u w:val="none"/>
                <w:lang w:val="en-US" w:eastAsia="zh-CN" w:bidi="ar"/>
              </w:rPr>
            </w:pP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6201">
            <w:pPr>
              <w:keepNext w:val="0"/>
              <w:keepLines w:val="0"/>
              <w:widowControl/>
              <w:numPr>
                <w:ilvl w:val="0"/>
                <w:numId w:val="0"/>
              </w:numPr>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1、钢丝绳达到GB/T 5972-2023规定的报废标准；</w:t>
            </w:r>
          </w:p>
          <w:p w14:paraId="6C701045">
            <w:pPr>
              <w:keepNext w:val="0"/>
              <w:keepLines w:val="0"/>
              <w:widowControl/>
              <w:numPr>
                <w:ilvl w:val="0"/>
                <w:numId w:val="0"/>
              </w:numPr>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钢丝绳绳端固定松动，钢丝绳受力后有滑移现象，用绳夹固定时，全部马鞍型夹座未安装在受力绳一侧，起升钢丝绳的各绳夹间距2倍大于5倍钢丝绳直径，绳夹数：直径≤18mm时少于2个；直径＞18～26mm时少于3个；直径＞26～36mm时少于4个；</w:t>
            </w:r>
          </w:p>
          <w:p w14:paraId="13272AB2">
            <w:pPr>
              <w:keepNext w:val="0"/>
              <w:keepLines w:val="0"/>
              <w:widowControl/>
              <w:numPr>
                <w:ilvl w:val="0"/>
                <w:numId w:val="0"/>
              </w:numPr>
              <w:suppressLineNumbers w:val="0"/>
              <w:spacing w:line="240" w:lineRule="auto"/>
              <w:jc w:val="both"/>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3、起重臂前端钢丝绳绳端固定采用“斜进直出”方式且数量达到2处以上；</w:t>
            </w:r>
          </w:p>
          <w:p w14:paraId="7BF571A7">
            <w:pPr>
              <w:keepNext w:val="0"/>
              <w:keepLines w:val="0"/>
              <w:widowControl/>
              <w:numPr>
                <w:ilvl w:val="0"/>
                <w:numId w:val="0"/>
              </w:numPr>
              <w:suppressLineNumbers w:val="0"/>
              <w:spacing w:line="240" w:lineRule="auto"/>
              <w:jc w:val="both"/>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4、钢丝绳防脱保护装置未设置，数量多于2处。</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C2E389">
            <w:pPr>
              <w:keepNext w:val="0"/>
              <w:keepLines w:val="0"/>
              <w:widowControl/>
              <w:numPr>
                <w:ilvl w:val="0"/>
                <w:numId w:val="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1、安装（维保）单位</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2、总包（使用）单位、监理单位</w:t>
            </w:r>
          </w:p>
        </w:tc>
      </w:tr>
      <w:tr w14:paraId="498B8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6118B">
            <w:pPr>
              <w:jc w:val="center"/>
              <w:rPr>
                <w:rFonts w:hint="eastAsia" w:ascii="宋体" w:hAnsi="宋体" w:eastAsia="宋体" w:cs="宋体"/>
                <w:b w:val="0"/>
                <w:i w:val="0"/>
                <w:iCs w:val="0"/>
                <w:color w:val="000000"/>
                <w:sz w:val="21"/>
                <w:szCs w:val="21"/>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3A7F7">
            <w:pPr>
              <w:jc w:val="center"/>
              <w:rPr>
                <w:rFonts w:hint="eastAsia" w:ascii="宋体" w:hAnsi="宋体" w:eastAsia="宋体" w:cs="宋体"/>
                <w:b w:val="0"/>
                <w:i w:val="0"/>
                <w:iCs w:val="0"/>
                <w:color w:val="000000"/>
                <w:sz w:val="24"/>
                <w:szCs w:val="24"/>
                <w:u w:val="none"/>
              </w:rPr>
            </w:pP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69EA">
            <w:pPr>
              <w:keepNext w:val="0"/>
              <w:keepLines w:val="0"/>
              <w:widowControl/>
              <w:numPr>
                <w:ilvl w:val="0"/>
                <w:numId w:val="18"/>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吊钩存在焊接、可见裂纹；</w:t>
            </w:r>
          </w:p>
          <w:p w14:paraId="7EF6D58A">
            <w:pPr>
              <w:keepNext w:val="0"/>
              <w:keepLines w:val="0"/>
              <w:widowControl/>
              <w:numPr>
                <w:ilvl w:val="0"/>
                <w:numId w:val="18"/>
              </w:numPr>
              <w:suppressLineNumbers w:val="0"/>
              <w:spacing w:line="240" w:lineRule="auto"/>
              <w:ind w:left="0" w:leftChars="0" w:firstLine="0" w:firstLineChars="0"/>
              <w:jc w:val="left"/>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吊钩明显变形和危险断面超标磨损。</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9E79">
            <w:pPr>
              <w:keepNext w:val="0"/>
              <w:keepLines w:val="0"/>
              <w:widowControl/>
              <w:numPr>
                <w:ilvl w:val="0"/>
                <w:numId w:val="19"/>
              </w:numPr>
              <w:suppressLineNumbers w:val="0"/>
              <w:spacing w:line="240" w:lineRule="auto"/>
              <w:jc w:val="both"/>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吊钩存在焊接和可见裂纹，吊钩未设置吊索防脱装置；</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2、吊钩开口度比原尺寸增加10%；</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3、吊钩危险断面磨损量超过原高度10%。</w:t>
            </w: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A4B92">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p>
        </w:tc>
      </w:tr>
      <w:tr w14:paraId="44DDB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DA717">
            <w:pPr>
              <w:jc w:val="center"/>
              <w:rPr>
                <w:rFonts w:hint="eastAsia" w:ascii="宋体" w:hAnsi="宋体" w:eastAsia="宋体" w:cs="宋体"/>
                <w:b w:val="0"/>
                <w:i w:val="0"/>
                <w:iCs w:val="0"/>
                <w:color w:val="000000"/>
                <w:sz w:val="21"/>
                <w:szCs w:val="21"/>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629E0">
            <w:pPr>
              <w:jc w:val="center"/>
              <w:rPr>
                <w:rFonts w:hint="eastAsia" w:ascii="宋体" w:hAnsi="宋体" w:eastAsia="宋体" w:cs="宋体"/>
                <w:b w:val="0"/>
                <w:i w:val="0"/>
                <w:iCs w:val="0"/>
                <w:color w:val="000000"/>
                <w:sz w:val="24"/>
                <w:szCs w:val="24"/>
                <w:u w:val="none"/>
              </w:rPr>
            </w:pP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68C5">
            <w:pPr>
              <w:keepNext w:val="0"/>
              <w:keepLines w:val="0"/>
              <w:widowControl/>
              <w:numPr>
                <w:ilvl w:val="0"/>
                <w:numId w:val="2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制动器零件磨损超标；</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2、制动器补偿余量不足；</w:t>
            </w:r>
          </w:p>
          <w:p w14:paraId="34E6A6FF">
            <w:pPr>
              <w:keepNext w:val="0"/>
              <w:keepLines w:val="0"/>
              <w:widowControl/>
              <w:numPr>
                <w:ilvl w:val="0"/>
                <w:numId w:val="0"/>
              </w:numPr>
              <w:suppressLineNumbers w:val="0"/>
              <w:spacing w:line="240" w:lineRule="auto"/>
              <w:jc w:val="left"/>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3、吊重下降制停明显溜钩。</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F197">
            <w:pPr>
              <w:keepNext w:val="0"/>
              <w:keepLines w:val="0"/>
              <w:widowControl/>
              <w:numPr>
                <w:ilvl w:val="0"/>
                <w:numId w:val="0"/>
              </w:numPr>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1、铆接或组装式制动衬垫的磨损量达到其原厚度的50%；</w:t>
            </w:r>
          </w:p>
          <w:p w14:paraId="02BE682A">
            <w:pPr>
              <w:keepNext w:val="0"/>
              <w:keepLines w:val="0"/>
              <w:widowControl/>
              <w:numPr>
                <w:ilvl w:val="0"/>
                <w:numId w:val="0"/>
              </w:numPr>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2、制动器补偿余量为零；</w:t>
            </w:r>
          </w:p>
          <w:p w14:paraId="61FDDBF2">
            <w:pPr>
              <w:keepNext w:val="0"/>
              <w:keepLines w:val="0"/>
              <w:widowControl/>
              <w:numPr>
                <w:ilvl w:val="0"/>
                <w:numId w:val="0"/>
              </w:numPr>
              <w:suppressLineNumbers w:val="0"/>
              <w:spacing w:line="240" w:lineRule="auto"/>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3、吊载试验，最低速下降制停时有明显溜钩现象。</w:t>
            </w: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6B650">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p>
        </w:tc>
      </w:tr>
      <w:tr w14:paraId="67C7D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68"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5B107">
            <w:pPr>
              <w:jc w:val="center"/>
              <w:rPr>
                <w:rFonts w:hint="eastAsia" w:ascii="宋体" w:hAnsi="宋体" w:eastAsia="宋体" w:cs="宋体"/>
                <w:b w:val="0"/>
                <w:i w:val="0"/>
                <w:iCs w:val="0"/>
                <w:color w:val="000000"/>
                <w:sz w:val="21"/>
                <w:szCs w:val="21"/>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85235">
            <w:pPr>
              <w:jc w:val="center"/>
              <w:rPr>
                <w:rFonts w:hint="eastAsia" w:ascii="宋体" w:hAnsi="宋体" w:eastAsia="宋体" w:cs="宋体"/>
                <w:b w:val="0"/>
                <w:i w:val="0"/>
                <w:iCs w:val="0"/>
                <w:color w:val="000000"/>
                <w:sz w:val="24"/>
                <w:szCs w:val="24"/>
                <w:u w:val="none"/>
              </w:rPr>
            </w:pP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23AB">
            <w:pPr>
              <w:keepNext w:val="0"/>
              <w:keepLines w:val="0"/>
              <w:widowControl/>
              <w:numPr>
                <w:ilvl w:val="0"/>
                <w:numId w:val="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主要机构零部件缺失、损坏。</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B911">
            <w:pPr>
              <w:keepNext w:val="0"/>
              <w:keepLines w:val="0"/>
              <w:widowControl/>
              <w:numPr>
                <w:ilvl w:val="0"/>
                <w:numId w:val="21"/>
              </w:numPr>
              <w:suppressLineNumbers w:val="0"/>
              <w:spacing w:line="240" w:lineRule="auto"/>
              <w:ind w:left="0" w:leftChars="0" w:firstLine="0" w:firstLineChars="0"/>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起升机构滑轮固死不转动；</w:t>
            </w:r>
          </w:p>
          <w:p w14:paraId="6DF6A826">
            <w:pPr>
              <w:keepNext w:val="0"/>
              <w:keepLines w:val="0"/>
              <w:widowControl/>
              <w:numPr>
                <w:ilvl w:val="0"/>
                <w:numId w:val="21"/>
              </w:numPr>
              <w:suppressLineNumbers w:val="0"/>
              <w:spacing w:line="240" w:lineRule="auto"/>
              <w:ind w:left="0" w:leftChars="0" w:firstLine="0" w:firstLineChars="0"/>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回转机构齿轮断齿失去啮合功能，数量超过2处及以上；</w:t>
            </w:r>
          </w:p>
          <w:p w14:paraId="4A606441">
            <w:pPr>
              <w:keepNext w:val="0"/>
              <w:keepLines w:val="0"/>
              <w:widowControl/>
              <w:numPr>
                <w:ilvl w:val="0"/>
                <w:numId w:val="21"/>
              </w:numPr>
              <w:suppressLineNumbers w:val="0"/>
              <w:spacing w:line="240" w:lineRule="auto"/>
              <w:ind w:left="0" w:leftChars="0" w:firstLine="0" w:firstLineChars="0"/>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套架导轮缺失或导轮与标准节单侧间距大于40mm；</w:t>
            </w:r>
          </w:p>
          <w:p w14:paraId="10D20EBB">
            <w:pPr>
              <w:keepNext w:val="0"/>
              <w:keepLines w:val="0"/>
              <w:widowControl/>
              <w:numPr>
                <w:ilvl w:val="0"/>
                <w:numId w:val="21"/>
              </w:numPr>
              <w:suppressLineNumbers w:val="0"/>
              <w:spacing w:line="240" w:lineRule="auto"/>
              <w:ind w:left="0" w:leftChars="0" w:firstLine="0" w:firstLineChars="0"/>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color w:val="000000"/>
                <w:w w:val="100"/>
                <w:kern w:val="0"/>
                <w:sz w:val="21"/>
                <w:szCs w:val="21"/>
                <w:u w:val="none"/>
                <w:vertAlign w:val="baseline"/>
                <w:lang w:val="en-US" w:eastAsia="zh-CN" w:bidi="ar"/>
              </w:rPr>
              <w:t>压重、配重重量或位置与说明书不符；</w:t>
            </w:r>
          </w:p>
          <w:p w14:paraId="3D395843">
            <w:pPr>
              <w:keepNext w:val="0"/>
              <w:keepLines w:val="0"/>
              <w:widowControl/>
              <w:numPr>
                <w:ilvl w:val="0"/>
                <w:numId w:val="21"/>
              </w:numPr>
              <w:suppressLineNumbers w:val="0"/>
              <w:spacing w:line="240" w:lineRule="auto"/>
              <w:ind w:left="0" w:leftChars="0" w:firstLine="0" w:firstLineChars="0"/>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color w:val="000000"/>
                <w:w w:val="100"/>
                <w:kern w:val="0"/>
                <w:sz w:val="21"/>
                <w:szCs w:val="21"/>
                <w:u w:val="none"/>
                <w:vertAlign w:val="baseline"/>
                <w:lang w:val="en-US" w:eastAsia="zh-CN" w:bidi="ar"/>
              </w:rPr>
              <w:t>司机室底板局部锈穿面积超过200*200mm</w:t>
            </w:r>
            <w:r>
              <w:rPr>
                <w:rFonts w:hint="eastAsia" w:ascii="宋体" w:hAnsi="宋体" w:eastAsia="宋体" w:cs="宋体"/>
                <w:color w:val="000000"/>
                <w:w w:val="100"/>
                <w:kern w:val="0"/>
                <w:sz w:val="21"/>
                <w:szCs w:val="21"/>
                <w:u w:val="none"/>
                <w:vertAlign w:val="superscript"/>
                <w:lang w:val="en-US" w:eastAsia="zh-CN" w:bidi="ar"/>
              </w:rPr>
              <w:t>2</w:t>
            </w:r>
            <w:r>
              <w:rPr>
                <w:rFonts w:hint="eastAsia" w:ascii="宋体" w:hAnsi="宋体" w:eastAsia="宋体" w:cs="宋体"/>
                <w:color w:val="000000"/>
                <w:w w:val="100"/>
                <w:kern w:val="0"/>
                <w:sz w:val="21"/>
                <w:szCs w:val="21"/>
                <w:u w:val="none"/>
                <w:vertAlign w:val="baseline"/>
                <w:lang w:val="en-US" w:eastAsia="zh-CN" w:bidi="ar"/>
              </w:rPr>
              <w:t>，支撑杆焊接处有可见裂纹。</w:t>
            </w: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F198F">
            <w:pPr>
              <w:keepNext w:val="0"/>
              <w:keepLines w:val="0"/>
              <w:widowControl/>
              <w:suppressLineNumbers w:val="0"/>
              <w:jc w:val="center"/>
              <w:textAlignment w:val="center"/>
              <w:rPr>
                <w:rFonts w:hint="eastAsia" w:ascii="宋体" w:hAnsi="宋体" w:eastAsia="宋体" w:cs="宋体"/>
                <w:b w:val="0"/>
                <w:i w:val="0"/>
                <w:iCs w:val="0"/>
                <w:color w:val="000000"/>
                <w:sz w:val="24"/>
                <w:szCs w:val="24"/>
                <w:u w:val="none"/>
              </w:rPr>
            </w:pPr>
          </w:p>
        </w:tc>
      </w:tr>
      <w:tr w14:paraId="2FA26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279"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DB64">
            <w:pPr>
              <w:keepNext w:val="0"/>
              <w:keepLines w:val="0"/>
              <w:widowControl/>
              <w:numPr>
                <w:ilvl w:val="0"/>
                <w:numId w:val="0"/>
              </w:numPr>
              <w:suppressLineNumbers w:val="0"/>
              <w:spacing w:line="240" w:lineRule="auto"/>
              <w:jc w:val="center"/>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7</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A8FB">
            <w:pPr>
              <w:keepNext w:val="0"/>
              <w:keepLines w:val="0"/>
              <w:widowControl/>
              <w:numPr>
                <w:ilvl w:val="0"/>
                <w:numId w:val="0"/>
              </w:numPr>
              <w:suppressLineNumbers w:val="0"/>
              <w:spacing w:line="240" w:lineRule="auto"/>
              <w:jc w:val="center"/>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主要安全装置</w:t>
            </w:r>
          </w:p>
        </w:tc>
        <w:tc>
          <w:tcPr>
            <w:tcW w:w="2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E6A3">
            <w:pPr>
              <w:keepNext w:val="0"/>
              <w:keepLines w:val="0"/>
              <w:widowControl/>
              <w:numPr>
                <w:ilvl w:val="0"/>
                <w:numId w:val="0"/>
              </w:numPr>
              <w:suppressLineNumbers w:val="0"/>
              <w:spacing w:line="240" w:lineRule="auto"/>
              <w:jc w:val="left"/>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主要安全装置不齐全，功能失效。</w:t>
            </w:r>
          </w:p>
        </w:tc>
        <w:tc>
          <w:tcPr>
            <w:tcW w:w="8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F8C2">
            <w:pPr>
              <w:keepNext w:val="0"/>
              <w:keepLines w:val="0"/>
              <w:widowControl/>
              <w:numPr>
                <w:ilvl w:val="0"/>
                <w:numId w:val="22"/>
              </w:numPr>
              <w:suppressLineNumbers w:val="0"/>
              <w:spacing w:line="240" w:lineRule="auto"/>
              <w:ind w:leftChars="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起升高度限位装置失效，或低速试验上方安全距离小于0.5m；</w:t>
            </w:r>
          </w:p>
          <w:p w14:paraId="3C5132CA">
            <w:pPr>
              <w:keepNext w:val="0"/>
              <w:keepLines w:val="0"/>
              <w:widowControl/>
              <w:numPr>
                <w:ilvl w:val="0"/>
                <w:numId w:val="22"/>
              </w:numPr>
              <w:suppressLineNumbers w:val="0"/>
              <w:spacing w:line="240" w:lineRule="auto"/>
              <w:ind w:leftChars="0"/>
              <w:jc w:val="left"/>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幅度限位器外侧限位功能失效；</w:t>
            </w:r>
          </w:p>
          <w:p w14:paraId="47DB4532">
            <w:pPr>
              <w:keepNext w:val="0"/>
              <w:keepLines w:val="0"/>
              <w:widowControl/>
              <w:numPr>
                <w:ilvl w:val="0"/>
                <w:numId w:val="22"/>
              </w:numPr>
              <w:suppressLineNumbers w:val="0"/>
              <w:spacing w:line="240" w:lineRule="auto"/>
              <w:ind w:leftChars="0"/>
              <w:jc w:val="left"/>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动臂变幅幅度限制装置失效；</w:t>
            </w:r>
          </w:p>
          <w:p w14:paraId="007C3FEF">
            <w:pPr>
              <w:keepNext w:val="0"/>
              <w:keepLines w:val="0"/>
              <w:widowControl/>
              <w:numPr>
                <w:ilvl w:val="0"/>
                <w:numId w:val="22"/>
              </w:numPr>
              <w:suppressLineNumbers w:val="0"/>
              <w:spacing w:line="240" w:lineRule="auto"/>
              <w:ind w:leftChars="0"/>
              <w:jc w:val="left"/>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轨道式运行限位器失效；</w:t>
            </w:r>
          </w:p>
          <w:p w14:paraId="1B090CCA">
            <w:pPr>
              <w:keepNext w:val="0"/>
              <w:keepLines w:val="0"/>
              <w:widowControl/>
              <w:numPr>
                <w:ilvl w:val="0"/>
                <w:numId w:val="22"/>
              </w:numPr>
              <w:suppressLineNumbers w:val="0"/>
              <w:spacing w:line="240" w:lineRule="auto"/>
              <w:ind w:leftChars="0"/>
              <w:jc w:val="left"/>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轨道式抗风防滑装置失效；</w:t>
            </w:r>
          </w:p>
          <w:p w14:paraId="0607E3D5">
            <w:pPr>
              <w:keepNext w:val="0"/>
              <w:keepLines w:val="0"/>
              <w:widowControl/>
              <w:numPr>
                <w:ilvl w:val="0"/>
                <w:numId w:val="22"/>
              </w:numPr>
              <w:suppressLineNumbers w:val="0"/>
              <w:spacing w:line="240" w:lineRule="auto"/>
              <w:ind w:leftChars="0"/>
              <w:jc w:val="left"/>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100%额定起重载荷力矩功能失效；</w:t>
            </w:r>
          </w:p>
          <w:p w14:paraId="7AEA2EF9">
            <w:pPr>
              <w:keepNext w:val="0"/>
              <w:keepLines w:val="0"/>
              <w:widowControl/>
              <w:numPr>
                <w:ilvl w:val="0"/>
                <w:numId w:val="22"/>
              </w:numPr>
              <w:suppressLineNumbers w:val="0"/>
              <w:spacing w:line="240" w:lineRule="auto"/>
              <w:ind w:leftChars="0"/>
              <w:jc w:val="left"/>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小车断绳保护装置失效；</w:t>
            </w:r>
          </w:p>
          <w:p w14:paraId="112ABC83">
            <w:pPr>
              <w:keepNext w:val="0"/>
              <w:keepLines w:val="0"/>
              <w:widowControl/>
              <w:numPr>
                <w:ilvl w:val="0"/>
                <w:numId w:val="22"/>
              </w:numPr>
              <w:suppressLineNumbers w:val="0"/>
              <w:spacing w:line="240" w:lineRule="auto"/>
              <w:ind w:leftChars="0"/>
              <w:jc w:val="left"/>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爬升装置防脱功能失效；</w:t>
            </w:r>
          </w:p>
          <w:p w14:paraId="248D2BDD">
            <w:pPr>
              <w:keepNext w:val="0"/>
              <w:keepLines w:val="0"/>
              <w:widowControl/>
              <w:numPr>
                <w:ilvl w:val="0"/>
                <w:numId w:val="22"/>
              </w:numPr>
              <w:suppressLineNumbers w:val="0"/>
              <w:spacing w:line="240" w:lineRule="auto"/>
              <w:ind w:leftChars="0"/>
              <w:jc w:val="left"/>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急停开关未安装。</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B6DA">
            <w:pPr>
              <w:keepNext w:val="0"/>
              <w:keepLines w:val="0"/>
              <w:widowControl/>
              <w:numPr>
                <w:ilvl w:val="0"/>
                <w:numId w:val="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1、安装（维保）单位</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2、总包（使用）单位、监理单位</w:t>
            </w:r>
          </w:p>
        </w:tc>
      </w:tr>
    </w:tbl>
    <w:p w14:paraId="62EE2F18">
      <w:pPr>
        <w:keepNext w:val="0"/>
        <w:keepLines w:val="0"/>
        <w:pageBreakBefore w:val="0"/>
        <w:widowControl w:val="0"/>
        <w:kinsoku/>
        <w:wordWrap/>
        <w:overflowPunct/>
        <w:topLinePunct w:val="0"/>
        <w:autoSpaceDE/>
        <w:autoSpaceDN/>
        <w:bidi w:val="0"/>
        <w:adjustRightInd/>
        <w:snapToGrid w:val="0"/>
        <w:spacing w:before="313" w:beforeLines="100" w:line="240" w:lineRule="auto"/>
        <w:jc w:val="center"/>
        <w:textAlignment w:val="auto"/>
        <w:rPr>
          <w:rFonts w:hint="eastAsia" w:ascii="宋体" w:hAnsi="宋体" w:eastAsia="宋体" w:cs="宋体"/>
          <w:b w:val="0"/>
          <w:bCs w:val="0"/>
          <w:kern w:val="2"/>
          <w:sz w:val="24"/>
          <w:szCs w:val="24"/>
          <w:shd w:val="clear"/>
          <w:lang w:val="en-US" w:eastAsia="zh-CN" w:bidi="ar-SA"/>
        </w:rPr>
      </w:pPr>
    </w:p>
    <w:p w14:paraId="4F969E78">
      <w:pPr>
        <w:keepNext w:val="0"/>
        <w:keepLines w:val="0"/>
        <w:pageBreakBefore w:val="0"/>
        <w:widowControl w:val="0"/>
        <w:kinsoku/>
        <w:wordWrap/>
        <w:overflowPunct/>
        <w:topLinePunct w:val="0"/>
        <w:autoSpaceDE/>
        <w:autoSpaceDN/>
        <w:bidi w:val="0"/>
        <w:adjustRightInd/>
        <w:snapToGrid w:val="0"/>
        <w:spacing w:before="313" w:beforeLines="100" w:line="240" w:lineRule="auto"/>
        <w:jc w:val="center"/>
        <w:textAlignment w:val="auto"/>
        <w:rPr>
          <w:rFonts w:hint="eastAsia" w:ascii="宋体" w:hAnsi="宋体" w:eastAsia="宋体" w:cs="宋体"/>
          <w:b w:val="0"/>
          <w:bCs w:val="0"/>
          <w:kern w:val="2"/>
          <w:sz w:val="24"/>
          <w:szCs w:val="24"/>
          <w:shd w:val="clear"/>
          <w:lang w:val="en-US" w:eastAsia="zh-CN" w:bidi="ar-SA"/>
        </w:rPr>
      </w:pPr>
    </w:p>
    <w:p w14:paraId="1880CF22">
      <w:pPr>
        <w:keepNext w:val="0"/>
        <w:keepLines w:val="0"/>
        <w:pageBreakBefore w:val="0"/>
        <w:widowControl w:val="0"/>
        <w:kinsoku/>
        <w:wordWrap/>
        <w:overflowPunct/>
        <w:topLinePunct w:val="0"/>
        <w:autoSpaceDE/>
        <w:autoSpaceDN/>
        <w:bidi w:val="0"/>
        <w:adjustRightInd/>
        <w:snapToGrid w:val="0"/>
        <w:spacing w:before="313" w:beforeLines="100" w:line="240" w:lineRule="auto"/>
        <w:jc w:val="center"/>
        <w:textAlignment w:val="auto"/>
        <w:rPr>
          <w:rFonts w:hint="default" w:ascii="sans-serif" w:hAnsi="sans-serif" w:eastAsia="宋体" w:cs="sans-serif"/>
          <w:b/>
          <w:bCs/>
          <w:i w:val="0"/>
          <w:caps w:val="0"/>
          <w:color w:val="FF0000"/>
          <w:spacing w:val="0"/>
          <w:sz w:val="24"/>
          <w:szCs w:val="24"/>
          <w:shd w:val="clear" w:fill="FFFFFF"/>
          <w:lang w:val="en-US" w:eastAsia="zh-CN"/>
        </w:rPr>
      </w:pPr>
      <w:r>
        <w:rPr>
          <w:rFonts w:hint="eastAsia" w:ascii="宋体" w:hAnsi="宋体" w:eastAsia="宋体" w:cs="宋体"/>
          <w:b w:val="0"/>
          <w:bCs w:val="0"/>
          <w:kern w:val="2"/>
          <w:sz w:val="24"/>
          <w:szCs w:val="24"/>
          <w:shd w:val="clear"/>
          <w:lang w:val="en-US" w:eastAsia="zh-CN" w:bidi="ar-SA"/>
        </w:rPr>
        <w:t xml:space="preserve">表3  </w:t>
      </w:r>
      <w:r>
        <w:rPr>
          <w:rFonts w:hint="eastAsia" w:ascii="宋体" w:hAnsi="宋体" w:eastAsia="宋体" w:cs="宋体"/>
          <w:b w:val="0"/>
          <w:bCs w:val="0"/>
          <w:color w:val="auto"/>
          <w:kern w:val="2"/>
          <w:sz w:val="24"/>
          <w:szCs w:val="24"/>
          <w:highlight w:val="none"/>
          <w:shd w:val="clear"/>
          <w:lang w:val="en-US" w:eastAsia="zh-CN" w:bidi="ar-SA"/>
        </w:rPr>
        <w:t>施工升降机红线隐患负面清单</w:t>
      </w:r>
    </w:p>
    <w:tbl>
      <w:tblPr>
        <w:tblStyle w:val="16"/>
        <w:tblW w:w="14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50"/>
        <w:gridCol w:w="706"/>
        <w:gridCol w:w="2967"/>
        <w:gridCol w:w="8133"/>
        <w:gridCol w:w="1834"/>
      </w:tblGrid>
      <w:tr w14:paraId="541D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8" w:hRule="atLeast"/>
          <w:tblHeader/>
        </w:trPr>
        <w:tc>
          <w:tcPr>
            <w:tcW w:w="450" w:type="dxa"/>
            <w:shd w:val="clear" w:color="auto" w:fill="auto"/>
            <w:vAlign w:val="center"/>
          </w:tcPr>
          <w:p w14:paraId="5E51BFE9">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i w:val="0"/>
                <w:iCs w:val="0"/>
                <w:color w:val="000000"/>
                <w:kern w:val="0"/>
                <w:sz w:val="21"/>
                <w:szCs w:val="21"/>
                <w:u w:val="none"/>
                <w:lang w:val="en-US" w:eastAsia="zh-CN" w:bidi="ar"/>
              </w:rPr>
              <w:t>序号</w:t>
            </w:r>
          </w:p>
        </w:tc>
        <w:tc>
          <w:tcPr>
            <w:tcW w:w="706" w:type="dxa"/>
            <w:shd w:val="clear" w:color="auto" w:fill="auto"/>
            <w:vAlign w:val="center"/>
          </w:tcPr>
          <w:p w14:paraId="4E980A5A">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i w:val="0"/>
                <w:iCs w:val="0"/>
                <w:color w:val="000000"/>
                <w:kern w:val="0"/>
                <w:sz w:val="21"/>
                <w:szCs w:val="21"/>
                <w:u w:val="none"/>
                <w:lang w:val="en-US" w:eastAsia="zh-CN" w:bidi="ar"/>
              </w:rPr>
              <w:t>分类</w:t>
            </w:r>
          </w:p>
        </w:tc>
        <w:tc>
          <w:tcPr>
            <w:tcW w:w="2967" w:type="dxa"/>
            <w:shd w:val="clear" w:color="auto" w:fill="auto"/>
            <w:vAlign w:val="center"/>
          </w:tcPr>
          <w:p w14:paraId="2B7DE89C">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i w:val="0"/>
                <w:iCs w:val="0"/>
                <w:color w:val="000000"/>
                <w:kern w:val="0"/>
                <w:sz w:val="21"/>
                <w:szCs w:val="21"/>
                <w:u w:val="none"/>
                <w:lang w:val="en-US" w:eastAsia="zh-CN" w:bidi="ar"/>
              </w:rPr>
              <w:t>红线隐患</w:t>
            </w:r>
          </w:p>
        </w:tc>
        <w:tc>
          <w:tcPr>
            <w:tcW w:w="8133" w:type="dxa"/>
            <w:shd w:val="clear" w:color="auto" w:fill="auto"/>
            <w:vAlign w:val="center"/>
          </w:tcPr>
          <w:p w14:paraId="56A5D26A">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i w:val="0"/>
                <w:iCs w:val="0"/>
                <w:color w:val="000000"/>
                <w:kern w:val="0"/>
                <w:sz w:val="21"/>
                <w:szCs w:val="21"/>
                <w:u w:val="none"/>
                <w:lang w:val="en-US" w:eastAsia="zh-CN" w:bidi="ar"/>
              </w:rPr>
              <w:t>细化描述</w:t>
            </w:r>
          </w:p>
        </w:tc>
        <w:tc>
          <w:tcPr>
            <w:tcW w:w="1834" w:type="dxa"/>
            <w:shd w:val="clear" w:color="auto" w:fill="auto"/>
            <w:vAlign w:val="center"/>
          </w:tcPr>
          <w:p w14:paraId="76C9D5C0">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i w:val="0"/>
                <w:iCs w:val="0"/>
                <w:color w:val="000000"/>
                <w:kern w:val="0"/>
                <w:sz w:val="21"/>
                <w:szCs w:val="21"/>
                <w:u w:val="none"/>
                <w:lang w:val="en-US" w:eastAsia="zh-CN" w:bidi="ar"/>
              </w:rPr>
              <w:t>责任单位</w:t>
            </w:r>
          </w:p>
        </w:tc>
      </w:tr>
      <w:tr w14:paraId="4ACF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3" w:hRule="atLeast"/>
        </w:trPr>
        <w:tc>
          <w:tcPr>
            <w:tcW w:w="450" w:type="dxa"/>
            <w:shd w:val="clear" w:color="auto" w:fill="auto"/>
            <w:vAlign w:val="center"/>
          </w:tcPr>
          <w:p w14:paraId="461809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06" w:type="dxa"/>
            <w:shd w:val="clear" w:color="auto" w:fill="auto"/>
            <w:vAlign w:val="center"/>
          </w:tcPr>
          <w:p w14:paraId="723DE0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资料</w:t>
            </w:r>
          </w:p>
        </w:tc>
        <w:tc>
          <w:tcPr>
            <w:tcW w:w="2967" w:type="dxa"/>
            <w:shd w:val="clear" w:color="auto" w:fill="auto"/>
            <w:vAlign w:val="center"/>
          </w:tcPr>
          <w:p w14:paraId="49AF1823">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i w:val="0"/>
                <w:iCs w:val="0"/>
                <w:color w:val="000000"/>
                <w:kern w:val="0"/>
                <w:sz w:val="21"/>
                <w:szCs w:val="21"/>
                <w:u w:val="none"/>
                <w:lang w:val="en-US" w:eastAsia="zh-CN" w:bidi="ar"/>
              </w:rPr>
              <w:t>1、无检验检测报告、使用登记证、安装方案或相关专项论证报告、设备月检记录；</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2、设备实际状况与资料不符。</w:t>
            </w:r>
          </w:p>
        </w:tc>
        <w:tc>
          <w:tcPr>
            <w:tcW w:w="8133" w:type="dxa"/>
            <w:shd w:val="clear" w:color="auto" w:fill="auto"/>
            <w:vAlign w:val="center"/>
          </w:tcPr>
          <w:p w14:paraId="3FEABD8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1、无有效安装检验报告；</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2、按规定时间超过1个月未办理使用登记；</w:t>
            </w:r>
          </w:p>
          <w:p w14:paraId="459AC1D5">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3、设备超过JGJ189使用年限，未做安全评估；</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4、未提供安装方案；特殊形式附墙及基础等无专项论证报告；</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5、无检查前三个月月度检查记录；</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6、设备实际状况与资料不符；</w:t>
            </w:r>
          </w:p>
          <w:p w14:paraId="1ACEB2AE">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i w:val="0"/>
                <w:iCs w:val="0"/>
                <w:color w:val="000000"/>
                <w:kern w:val="0"/>
                <w:sz w:val="21"/>
                <w:szCs w:val="21"/>
                <w:u w:val="none"/>
                <w:lang w:val="en-US" w:eastAsia="zh-CN" w:bidi="ar"/>
              </w:rPr>
              <w:t>7、双笼设备分为两个单笼以同一或不同产权号分别安装。</w:t>
            </w:r>
          </w:p>
        </w:tc>
        <w:tc>
          <w:tcPr>
            <w:tcW w:w="1834" w:type="dxa"/>
            <w:shd w:val="clear" w:color="auto" w:fill="auto"/>
            <w:vAlign w:val="center"/>
          </w:tcPr>
          <w:p w14:paraId="4BAF30A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1.总包（使用）单位、监理单位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2.安装（维保）单位</w:t>
            </w:r>
          </w:p>
        </w:tc>
      </w:tr>
      <w:tr w14:paraId="41EB3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25" w:hRule="atLeast"/>
        </w:trPr>
        <w:tc>
          <w:tcPr>
            <w:tcW w:w="450" w:type="dxa"/>
            <w:vMerge w:val="restart"/>
            <w:shd w:val="clear" w:color="auto" w:fill="auto"/>
            <w:vAlign w:val="center"/>
          </w:tcPr>
          <w:p w14:paraId="1BA77C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6" w:type="dxa"/>
            <w:vMerge w:val="restart"/>
            <w:shd w:val="clear" w:color="auto" w:fill="auto"/>
            <w:vAlign w:val="center"/>
          </w:tcPr>
          <w:p w14:paraId="35659B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作业环境</w:t>
            </w:r>
          </w:p>
        </w:tc>
        <w:tc>
          <w:tcPr>
            <w:tcW w:w="2967" w:type="dxa"/>
            <w:shd w:val="clear" w:color="auto" w:fill="auto"/>
            <w:vAlign w:val="center"/>
          </w:tcPr>
          <w:p w14:paraId="4B86D113">
            <w:pPr>
              <w:keepNext w:val="0"/>
              <w:keepLines w:val="0"/>
              <w:widowControl/>
              <w:numPr>
                <w:ilvl w:val="0"/>
                <w:numId w:val="23"/>
              </w:numPr>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正常关闭的吊笼门与层门间水平距离严重不符合要求；</w:t>
            </w:r>
          </w:p>
          <w:p w14:paraId="7E368E7B">
            <w:pPr>
              <w:keepNext w:val="0"/>
              <w:keepLines w:val="0"/>
              <w:widowControl/>
              <w:numPr>
                <w:ilvl w:val="0"/>
                <w:numId w:val="23"/>
              </w:numPr>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吊笼门框外缘与登机平台边缘的水平距离严重不符合要求；</w:t>
            </w:r>
          </w:p>
          <w:p w14:paraId="22828F87">
            <w:pPr>
              <w:keepNext w:val="0"/>
              <w:keepLines w:val="0"/>
              <w:widowControl/>
              <w:numPr>
                <w:ilvl w:val="0"/>
                <w:numId w:val="23"/>
              </w:numPr>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吊笼与除登机平台以外的建筑物和固定施工设备之间的安全距离严重不足。</w:t>
            </w:r>
          </w:p>
        </w:tc>
        <w:tc>
          <w:tcPr>
            <w:tcW w:w="8133" w:type="dxa"/>
            <w:shd w:val="clear" w:color="auto" w:fill="auto"/>
            <w:vAlign w:val="center"/>
          </w:tcPr>
          <w:p w14:paraId="5D2254EA">
            <w:pPr>
              <w:keepNext w:val="0"/>
              <w:keepLines w:val="0"/>
              <w:widowControl/>
              <w:numPr>
                <w:ilvl w:val="0"/>
                <w:numId w:val="24"/>
              </w:numPr>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正常关闭的吊笼门与层门间水平距离大于250mm及以上，且两侧未设置防护栏杆；</w:t>
            </w:r>
          </w:p>
          <w:p w14:paraId="4A903059">
            <w:pPr>
              <w:keepNext w:val="0"/>
              <w:keepLines w:val="0"/>
              <w:widowControl/>
              <w:numPr>
                <w:ilvl w:val="0"/>
                <w:numId w:val="24"/>
              </w:numPr>
              <w:suppressLineNumbers w:val="0"/>
              <w:spacing w:line="240" w:lineRule="auto"/>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吊笼门框外缘与登机平台边缘的水平距离大于100mm及以上；</w:t>
            </w:r>
          </w:p>
          <w:p w14:paraId="353940F8">
            <w:pPr>
              <w:keepNext w:val="0"/>
              <w:keepLines w:val="0"/>
              <w:widowControl/>
              <w:numPr>
                <w:ilvl w:val="0"/>
                <w:numId w:val="24"/>
              </w:numPr>
              <w:suppressLineNumbers w:val="0"/>
              <w:spacing w:line="240" w:lineRule="auto"/>
              <w:ind w:left="0" w:leftChars="0" w:firstLine="0" w:firstLineChars="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吊笼与除登机平台以外的建筑物和固定施工设备之间的安全距离小于150mm。</w:t>
            </w:r>
          </w:p>
        </w:tc>
        <w:tc>
          <w:tcPr>
            <w:tcW w:w="1834" w:type="dxa"/>
            <w:vMerge w:val="restart"/>
            <w:shd w:val="clear" w:color="auto" w:fill="auto"/>
            <w:vAlign w:val="center"/>
          </w:tcPr>
          <w:p w14:paraId="647FB149">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1.总包（使用）单位、监理单位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2.安装（维保）单位</w:t>
            </w:r>
          </w:p>
          <w:p w14:paraId="79D12E60">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p>
        </w:tc>
      </w:tr>
      <w:tr w14:paraId="05FCF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4" w:hRule="atLeast"/>
        </w:trPr>
        <w:tc>
          <w:tcPr>
            <w:tcW w:w="450" w:type="dxa"/>
            <w:vMerge w:val="continue"/>
            <w:shd w:val="clear" w:color="auto" w:fill="auto"/>
            <w:vAlign w:val="center"/>
          </w:tcPr>
          <w:p w14:paraId="1C1E325D">
            <w:pPr>
              <w:jc w:val="center"/>
              <w:rPr>
                <w:rFonts w:hint="eastAsia" w:ascii="宋体" w:hAnsi="宋体" w:eastAsia="宋体" w:cs="宋体"/>
                <w:i w:val="0"/>
                <w:iCs w:val="0"/>
                <w:color w:val="000000"/>
                <w:sz w:val="21"/>
                <w:szCs w:val="21"/>
                <w:u w:val="none"/>
              </w:rPr>
            </w:pPr>
          </w:p>
        </w:tc>
        <w:tc>
          <w:tcPr>
            <w:tcW w:w="706" w:type="dxa"/>
            <w:vMerge w:val="continue"/>
            <w:shd w:val="clear" w:color="auto" w:fill="auto"/>
            <w:vAlign w:val="center"/>
          </w:tcPr>
          <w:p w14:paraId="14BA11B6">
            <w:pPr>
              <w:jc w:val="center"/>
              <w:rPr>
                <w:rFonts w:hint="eastAsia" w:ascii="宋体" w:hAnsi="宋体" w:eastAsia="宋体" w:cs="宋体"/>
                <w:i w:val="0"/>
                <w:iCs w:val="0"/>
                <w:color w:val="000000"/>
                <w:sz w:val="21"/>
                <w:szCs w:val="21"/>
                <w:u w:val="none"/>
              </w:rPr>
            </w:pPr>
          </w:p>
        </w:tc>
        <w:tc>
          <w:tcPr>
            <w:tcW w:w="2967" w:type="dxa"/>
            <w:shd w:val="clear" w:color="auto" w:fill="auto"/>
            <w:vAlign w:val="center"/>
          </w:tcPr>
          <w:p w14:paraId="5A3323B0">
            <w:pPr>
              <w:keepNext w:val="0"/>
              <w:keepLines w:val="0"/>
              <w:widowControl/>
              <w:numPr>
                <w:ilvl w:val="0"/>
                <w:numId w:val="25"/>
              </w:numPr>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未设置楼层门；</w:t>
            </w:r>
          </w:p>
          <w:p w14:paraId="684F083B">
            <w:pPr>
              <w:keepNext w:val="0"/>
              <w:keepLines w:val="0"/>
              <w:widowControl/>
              <w:numPr>
                <w:ilvl w:val="0"/>
                <w:numId w:val="25"/>
              </w:numPr>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层门外开或无锁止功能；</w:t>
            </w:r>
          </w:p>
          <w:p w14:paraId="3DD54BDF">
            <w:pPr>
              <w:keepNext w:val="0"/>
              <w:keepLines w:val="0"/>
              <w:widowControl/>
              <w:numPr>
                <w:ilvl w:val="0"/>
                <w:numId w:val="25"/>
              </w:numPr>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层门突出到吊笼的升降通道上；</w:t>
            </w:r>
          </w:p>
          <w:p w14:paraId="3D08DDA8">
            <w:pPr>
              <w:keepNext w:val="0"/>
              <w:keepLines w:val="0"/>
              <w:widowControl/>
              <w:numPr>
                <w:ilvl w:val="0"/>
                <w:numId w:val="25"/>
              </w:numPr>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层门净高度严重不足。</w:t>
            </w:r>
          </w:p>
        </w:tc>
        <w:tc>
          <w:tcPr>
            <w:tcW w:w="8133" w:type="dxa"/>
            <w:shd w:val="clear" w:color="auto" w:fill="auto"/>
            <w:vAlign w:val="center"/>
          </w:tcPr>
          <w:p w14:paraId="5B55634B">
            <w:pPr>
              <w:keepNext w:val="0"/>
              <w:keepLines w:val="0"/>
              <w:widowControl/>
              <w:numPr>
                <w:ilvl w:val="0"/>
                <w:numId w:val="26"/>
              </w:numPr>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未设置楼层门；</w:t>
            </w:r>
          </w:p>
          <w:p w14:paraId="27315969">
            <w:pPr>
              <w:keepNext w:val="0"/>
              <w:keepLines w:val="0"/>
              <w:widowControl/>
              <w:numPr>
                <w:ilvl w:val="0"/>
                <w:numId w:val="26"/>
              </w:numPr>
              <w:suppressLineNumbers w:val="0"/>
              <w:spacing w:line="240" w:lineRule="auto"/>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层门向升降通道方向开启或无锁止功能；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3、层门突出到吊笼的升降通道上，存在与吊笼有刮擦现象；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4、楼层门净高度低于1.5m。</w:t>
            </w:r>
          </w:p>
        </w:tc>
        <w:tc>
          <w:tcPr>
            <w:tcW w:w="1834" w:type="dxa"/>
            <w:vMerge w:val="continue"/>
            <w:shd w:val="clear" w:color="auto" w:fill="auto"/>
            <w:vAlign w:val="center"/>
          </w:tcPr>
          <w:p w14:paraId="5A1C562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p>
        </w:tc>
      </w:tr>
      <w:tr w14:paraId="4323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37" w:hRule="atLeast"/>
        </w:trPr>
        <w:tc>
          <w:tcPr>
            <w:tcW w:w="450" w:type="dxa"/>
            <w:vMerge w:val="restart"/>
            <w:shd w:val="clear" w:color="auto" w:fill="auto"/>
            <w:vAlign w:val="center"/>
          </w:tcPr>
          <w:p w14:paraId="711B60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06" w:type="dxa"/>
            <w:vMerge w:val="restart"/>
            <w:shd w:val="clear" w:color="auto" w:fill="auto"/>
            <w:vAlign w:val="center"/>
          </w:tcPr>
          <w:p w14:paraId="6356CC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主要受力结构件</w:t>
            </w:r>
          </w:p>
        </w:tc>
        <w:tc>
          <w:tcPr>
            <w:tcW w:w="2967" w:type="dxa"/>
            <w:shd w:val="clear" w:color="auto" w:fill="auto"/>
            <w:vAlign w:val="center"/>
          </w:tcPr>
          <w:p w14:paraId="59DDEBA3">
            <w:pPr>
              <w:keepNext w:val="0"/>
              <w:keepLines w:val="0"/>
              <w:widowControl/>
              <w:numPr>
                <w:ilvl w:val="0"/>
                <w:numId w:val="27"/>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标准节立管壁厚减少量严重超标；</w:t>
            </w:r>
          </w:p>
          <w:p w14:paraId="7FBC1D96">
            <w:pPr>
              <w:keepNext w:val="0"/>
              <w:keepLines w:val="0"/>
              <w:widowControl/>
              <w:numPr>
                <w:ilvl w:val="0"/>
                <w:numId w:val="27"/>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标准节立管发生塑性变形，立杆存在可见裂纹；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3、标准节腹杆多处变形；</w:t>
            </w:r>
          </w:p>
          <w:p w14:paraId="50C4EC39">
            <w:pPr>
              <w:keepNext w:val="0"/>
              <w:keepLines w:val="0"/>
              <w:widowControl/>
              <w:numPr>
                <w:ilvl w:val="0"/>
                <w:numId w:val="0"/>
              </w:numPr>
              <w:suppressLineNumbers w:val="0"/>
              <w:spacing w:line="240" w:lineRule="auto"/>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4、腹杆及腹杆与立管焊缝裂缝。</w:t>
            </w:r>
          </w:p>
        </w:tc>
        <w:tc>
          <w:tcPr>
            <w:tcW w:w="8133" w:type="dxa"/>
            <w:shd w:val="clear" w:color="auto" w:fill="auto"/>
            <w:vAlign w:val="center"/>
          </w:tcPr>
          <w:p w14:paraId="24CB516F">
            <w:pPr>
              <w:keepNext w:val="0"/>
              <w:keepLines w:val="0"/>
              <w:widowControl/>
              <w:suppressLineNumbers w:val="0"/>
              <w:spacing w:line="240" w:lineRule="auto"/>
              <w:jc w:val="both"/>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1、每根立管选上、中、下各2点，一个标准节四根立管共测量24点，其壁厚减少量平均值达到或超过原壁厚的25%；</w:t>
            </w:r>
          </w:p>
          <w:p w14:paraId="480D1A10">
            <w:pPr>
              <w:keepNext w:val="0"/>
              <w:keepLines w:val="0"/>
              <w:widowControl/>
              <w:suppressLineNumbers w:val="0"/>
              <w:spacing w:line="240" w:lineRule="auto"/>
              <w:jc w:val="both"/>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2、标准节局部壁厚超过原壁厚的30%；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3、标准节立管发生明显塑性变形或可见裂纹，变形量达到或超过2</w:t>
            </w:r>
            <w:r>
              <w:rPr>
                <w:rFonts w:hint="default" w:ascii="Arial" w:hAnsi="Arial" w:eastAsia="宋体" w:cs="Arial"/>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4、标准节腹杆多处变形：变形量达到或超过2%的，一个标准节上3根及以上；或有3个及以上标准节存在1-2根达到或超过2%变形；</w:t>
            </w:r>
          </w:p>
          <w:p w14:paraId="0AB22BF0">
            <w:pPr>
              <w:keepNext w:val="0"/>
              <w:keepLines w:val="0"/>
              <w:widowControl/>
              <w:suppressLineNumbers w:val="0"/>
              <w:spacing w:line="240" w:lineRule="auto"/>
              <w:jc w:val="both"/>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5、腹杆与立管脱焊；腹杆与立管焊缝开裂达到连接长度50%及以上；腹杆与立管焊缝开裂达到连接长度50%时，存在一节标准节中有2处以上，或任意3个及以上标准节存在该类缺陷；</w:t>
            </w:r>
          </w:p>
          <w:p w14:paraId="7343A438">
            <w:pPr>
              <w:keepNext w:val="0"/>
              <w:keepLines w:val="0"/>
              <w:widowControl/>
              <w:suppressLineNumbers w:val="0"/>
              <w:spacing w:line="240" w:lineRule="auto"/>
              <w:jc w:val="both"/>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6、吊笼及司机室底板局部锈穿面积超过200*200mm</w:t>
            </w:r>
            <w:r>
              <w:rPr>
                <w:rFonts w:hint="eastAsia" w:ascii="宋体" w:hAnsi="宋体" w:eastAsia="宋体" w:cs="宋体"/>
                <w:i w:val="0"/>
                <w:iCs w:val="0"/>
                <w:color w:val="000000"/>
                <w:kern w:val="0"/>
                <w:sz w:val="21"/>
                <w:szCs w:val="21"/>
                <w:u w:val="none"/>
                <w:vertAlign w:val="superscript"/>
                <w:lang w:val="en-US" w:eastAsia="zh-CN" w:bidi="ar"/>
              </w:rPr>
              <w:t>2</w:t>
            </w:r>
            <w:r>
              <w:rPr>
                <w:rFonts w:hint="eastAsia" w:ascii="宋体" w:hAnsi="宋体" w:eastAsia="宋体" w:cs="宋体"/>
                <w:i w:val="0"/>
                <w:iCs w:val="0"/>
                <w:color w:val="000000"/>
                <w:kern w:val="0"/>
                <w:sz w:val="21"/>
                <w:szCs w:val="21"/>
                <w:u w:val="none"/>
                <w:lang w:val="en-US" w:eastAsia="zh-CN" w:bidi="ar"/>
              </w:rPr>
              <w:t>、支撑杆焊接处有可见裂纹。</w:t>
            </w:r>
          </w:p>
        </w:tc>
        <w:tc>
          <w:tcPr>
            <w:tcW w:w="1834" w:type="dxa"/>
            <w:vMerge w:val="restart"/>
            <w:shd w:val="clear" w:color="auto" w:fill="auto"/>
            <w:vAlign w:val="center"/>
          </w:tcPr>
          <w:p w14:paraId="4D3A778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r w14:paraId="6AE3E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2" w:hRule="atLeast"/>
        </w:trPr>
        <w:tc>
          <w:tcPr>
            <w:tcW w:w="450" w:type="dxa"/>
            <w:vMerge w:val="continue"/>
            <w:shd w:val="clear" w:color="auto" w:fill="auto"/>
            <w:vAlign w:val="center"/>
          </w:tcPr>
          <w:p w14:paraId="602BDC71">
            <w:pPr>
              <w:jc w:val="center"/>
              <w:rPr>
                <w:rFonts w:hint="eastAsia" w:ascii="宋体" w:hAnsi="宋体" w:eastAsia="宋体" w:cs="宋体"/>
                <w:i w:val="0"/>
                <w:iCs w:val="0"/>
                <w:color w:val="000000"/>
                <w:sz w:val="24"/>
                <w:szCs w:val="24"/>
                <w:u w:val="none"/>
              </w:rPr>
            </w:pPr>
          </w:p>
        </w:tc>
        <w:tc>
          <w:tcPr>
            <w:tcW w:w="706" w:type="dxa"/>
            <w:vMerge w:val="continue"/>
            <w:shd w:val="clear" w:color="auto" w:fill="auto"/>
            <w:vAlign w:val="center"/>
          </w:tcPr>
          <w:p w14:paraId="78A196A8">
            <w:pPr>
              <w:jc w:val="left"/>
              <w:rPr>
                <w:rFonts w:hint="eastAsia" w:ascii="宋体" w:hAnsi="宋体" w:eastAsia="宋体" w:cs="宋体"/>
                <w:i w:val="0"/>
                <w:iCs w:val="0"/>
                <w:color w:val="000000"/>
                <w:sz w:val="24"/>
                <w:szCs w:val="24"/>
                <w:u w:val="none"/>
              </w:rPr>
            </w:pPr>
          </w:p>
        </w:tc>
        <w:tc>
          <w:tcPr>
            <w:tcW w:w="2967" w:type="dxa"/>
            <w:shd w:val="clear" w:color="auto" w:fill="auto"/>
            <w:vAlign w:val="center"/>
          </w:tcPr>
          <w:p w14:paraId="0B65E92E">
            <w:pPr>
              <w:keepNext w:val="0"/>
              <w:keepLines w:val="0"/>
              <w:widowControl/>
              <w:numPr>
                <w:ilvl w:val="0"/>
                <w:numId w:val="28"/>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自由端悬高超差；</w:t>
            </w:r>
          </w:p>
          <w:p w14:paraId="6EC5710D">
            <w:pPr>
              <w:keepNext w:val="0"/>
              <w:keepLines w:val="0"/>
              <w:widowControl/>
              <w:numPr>
                <w:ilvl w:val="0"/>
                <w:numId w:val="28"/>
              </w:numPr>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附着间距不符合说明书规定；</w:t>
            </w:r>
          </w:p>
          <w:p w14:paraId="338914E7">
            <w:pPr>
              <w:keepNext w:val="0"/>
              <w:keepLines w:val="0"/>
              <w:widowControl/>
              <w:numPr>
                <w:ilvl w:val="0"/>
                <w:numId w:val="28"/>
              </w:numPr>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导轨架垂直度不符合要求。</w:t>
            </w:r>
          </w:p>
        </w:tc>
        <w:tc>
          <w:tcPr>
            <w:tcW w:w="8133" w:type="dxa"/>
            <w:shd w:val="clear" w:color="auto" w:fill="auto"/>
            <w:vAlign w:val="center"/>
          </w:tcPr>
          <w:p w14:paraId="1B48D8FE">
            <w:pPr>
              <w:keepNext w:val="0"/>
              <w:keepLines w:val="0"/>
              <w:widowControl/>
              <w:numPr>
                <w:ilvl w:val="0"/>
                <w:numId w:val="29"/>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最高附着以上自由端悬高超过说明书要求，且上限位和极限限位控制的运行高度未在规定范围内；</w:t>
            </w:r>
          </w:p>
          <w:p w14:paraId="2A2C1CFE">
            <w:pPr>
              <w:keepNext w:val="0"/>
              <w:keepLines w:val="0"/>
              <w:widowControl/>
              <w:numPr>
                <w:ilvl w:val="0"/>
                <w:numId w:val="29"/>
              </w:numPr>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总附着道数少于说明书规定应设道数；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3、导轨架垂直度超过规定偏差数值的20%。</w:t>
            </w:r>
          </w:p>
          <w:p w14:paraId="0E03BA16">
            <w:pPr>
              <w:keepNext w:val="0"/>
              <w:keepLines w:val="0"/>
              <w:widowControl/>
              <w:numPr>
                <w:ilvl w:val="-1"/>
                <w:numId w:val="0"/>
              </w:numPr>
              <w:suppressLineNumbers w:val="0"/>
              <w:spacing w:line="240" w:lineRule="auto"/>
              <w:jc w:val="left"/>
              <w:textAlignment w:val="center"/>
              <w:rPr>
                <w:rFonts w:hint="eastAsia" w:ascii="宋体" w:hAnsi="宋体" w:eastAsia="宋体" w:cs="宋体"/>
                <w:i w:val="0"/>
                <w:iCs w:val="0"/>
                <w:color w:val="000000"/>
                <w:sz w:val="21"/>
                <w:szCs w:val="21"/>
                <w:u w:val="none"/>
              </w:rPr>
            </w:pPr>
            <w:r>
              <w:drawing>
                <wp:inline distT="0" distB="0" distL="114300" distR="114300">
                  <wp:extent cx="3708400" cy="60960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3708400" cy="609600"/>
                          </a:xfrm>
                          <a:prstGeom prst="rect">
                            <a:avLst/>
                          </a:prstGeom>
                          <a:noFill/>
                          <a:ln>
                            <a:noFill/>
                          </a:ln>
                        </pic:spPr>
                      </pic:pic>
                    </a:graphicData>
                  </a:graphic>
                </wp:inline>
              </w:drawing>
            </w:r>
          </w:p>
          <w:p w14:paraId="19A50833">
            <w:pPr>
              <w:keepNext w:val="0"/>
              <w:keepLines w:val="0"/>
              <w:widowControl/>
              <w:numPr>
                <w:ilvl w:val="-1"/>
                <w:numId w:val="0"/>
              </w:numPr>
              <w:suppressLineNumbers w:val="0"/>
              <w:spacing w:line="240" w:lineRule="auto"/>
              <w:jc w:val="left"/>
              <w:textAlignment w:val="center"/>
              <w:rPr>
                <w:rFonts w:hint="eastAsia" w:ascii="宋体" w:hAnsi="宋体" w:eastAsia="宋体" w:cs="宋体"/>
                <w:i w:val="0"/>
                <w:iCs w:val="0"/>
                <w:color w:val="000000"/>
                <w:sz w:val="21"/>
                <w:szCs w:val="21"/>
                <w:u w:val="none"/>
              </w:rPr>
            </w:pPr>
          </w:p>
        </w:tc>
        <w:tc>
          <w:tcPr>
            <w:tcW w:w="1834" w:type="dxa"/>
            <w:vMerge w:val="continue"/>
            <w:shd w:val="clear" w:color="auto" w:fill="auto"/>
            <w:vAlign w:val="center"/>
          </w:tcPr>
          <w:p w14:paraId="43FF7B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14:paraId="59047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75" w:hRule="atLeast"/>
        </w:trPr>
        <w:tc>
          <w:tcPr>
            <w:tcW w:w="450" w:type="dxa"/>
            <w:vMerge w:val="continue"/>
            <w:shd w:val="clear" w:color="auto" w:fill="auto"/>
            <w:vAlign w:val="center"/>
          </w:tcPr>
          <w:p w14:paraId="26FD1C78">
            <w:pPr>
              <w:jc w:val="center"/>
              <w:rPr>
                <w:rFonts w:hint="eastAsia" w:ascii="宋体" w:hAnsi="宋体" w:eastAsia="宋体" w:cs="宋体"/>
                <w:i w:val="0"/>
                <w:iCs w:val="0"/>
                <w:color w:val="000000"/>
                <w:sz w:val="24"/>
                <w:szCs w:val="24"/>
                <w:u w:val="none"/>
              </w:rPr>
            </w:pPr>
          </w:p>
        </w:tc>
        <w:tc>
          <w:tcPr>
            <w:tcW w:w="706" w:type="dxa"/>
            <w:vMerge w:val="continue"/>
            <w:shd w:val="clear" w:color="auto" w:fill="auto"/>
            <w:vAlign w:val="center"/>
          </w:tcPr>
          <w:p w14:paraId="652BF69D">
            <w:pPr>
              <w:jc w:val="left"/>
              <w:rPr>
                <w:rFonts w:hint="eastAsia" w:ascii="宋体" w:hAnsi="宋体" w:eastAsia="宋体" w:cs="宋体"/>
                <w:i w:val="0"/>
                <w:iCs w:val="0"/>
                <w:color w:val="000000"/>
                <w:sz w:val="24"/>
                <w:szCs w:val="24"/>
                <w:u w:val="none"/>
              </w:rPr>
            </w:pPr>
          </w:p>
        </w:tc>
        <w:tc>
          <w:tcPr>
            <w:tcW w:w="2967" w:type="dxa"/>
            <w:shd w:val="clear" w:color="auto" w:fill="auto"/>
            <w:vAlign w:val="center"/>
          </w:tcPr>
          <w:p w14:paraId="50C32C1F">
            <w:pPr>
              <w:keepNext w:val="0"/>
              <w:keepLines w:val="0"/>
              <w:widowControl/>
              <w:numPr>
                <w:ilvl w:val="0"/>
                <w:numId w:val="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1、主要受力杆件销轴连接开口销未打开；</w:t>
            </w:r>
          </w:p>
          <w:p w14:paraId="7820629D">
            <w:pPr>
              <w:keepNext w:val="0"/>
              <w:keepLines w:val="0"/>
              <w:widowControl/>
              <w:numPr>
                <w:ilvl w:val="0"/>
                <w:numId w:val="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2、导轨架高强螺栓松动；</w:t>
            </w:r>
          </w:p>
          <w:p w14:paraId="248E85D4">
            <w:pPr>
              <w:keepNext w:val="0"/>
              <w:keepLines w:val="0"/>
              <w:widowControl/>
              <w:numPr>
                <w:ilvl w:val="0"/>
                <w:numId w:val="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3、轴端档板缺失或失效。</w:t>
            </w:r>
          </w:p>
        </w:tc>
        <w:tc>
          <w:tcPr>
            <w:tcW w:w="8133" w:type="dxa"/>
            <w:shd w:val="clear" w:color="auto" w:fill="auto"/>
            <w:vAlign w:val="center"/>
          </w:tcPr>
          <w:p w14:paraId="75F20650">
            <w:pPr>
              <w:keepNext w:val="0"/>
              <w:keepLines w:val="0"/>
              <w:widowControl/>
              <w:numPr>
                <w:ilvl w:val="0"/>
                <w:numId w:val="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1、主要受力杆件销轴连接开口销打开角度小于30°且数量达到5处及以上；未安装或者未打开数量达到1处；</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2、导轨架高强螺栓松动且一个标准节连接面存在2颗以上螺母或缺装一根及以上螺栓；</w:t>
            </w:r>
          </w:p>
          <w:p w14:paraId="08BCEF4B">
            <w:pPr>
              <w:keepNext w:val="0"/>
              <w:keepLines w:val="0"/>
              <w:widowControl/>
              <w:numPr>
                <w:ilvl w:val="0"/>
                <w:numId w:val="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3、轴端档板缺失、失效，销轴有脱出现象。</w:t>
            </w:r>
          </w:p>
        </w:tc>
        <w:tc>
          <w:tcPr>
            <w:tcW w:w="1834" w:type="dxa"/>
            <w:vMerge w:val="continue"/>
            <w:shd w:val="clear" w:color="auto" w:fill="auto"/>
            <w:vAlign w:val="center"/>
          </w:tcPr>
          <w:p w14:paraId="191AD2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14:paraId="43AE0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450" w:type="dxa"/>
            <w:vMerge w:val="continue"/>
            <w:shd w:val="clear" w:color="auto" w:fill="auto"/>
            <w:vAlign w:val="center"/>
          </w:tcPr>
          <w:p w14:paraId="1A7A1E04">
            <w:pPr>
              <w:jc w:val="center"/>
              <w:rPr>
                <w:rFonts w:hint="eastAsia" w:ascii="宋体" w:hAnsi="宋体" w:eastAsia="宋体" w:cs="宋体"/>
                <w:i w:val="0"/>
                <w:iCs w:val="0"/>
                <w:color w:val="000000"/>
                <w:sz w:val="24"/>
                <w:szCs w:val="24"/>
                <w:u w:val="none"/>
              </w:rPr>
            </w:pPr>
          </w:p>
        </w:tc>
        <w:tc>
          <w:tcPr>
            <w:tcW w:w="706" w:type="dxa"/>
            <w:vMerge w:val="continue"/>
            <w:shd w:val="clear" w:color="auto" w:fill="auto"/>
            <w:vAlign w:val="center"/>
          </w:tcPr>
          <w:p w14:paraId="51F3FE68">
            <w:pPr>
              <w:jc w:val="left"/>
              <w:rPr>
                <w:rFonts w:hint="eastAsia" w:ascii="宋体" w:hAnsi="宋体" w:eastAsia="宋体" w:cs="宋体"/>
                <w:i w:val="0"/>
                <w:iCs w:val="0"/>
                <w:color w:val="000000"/>
                <w:sz w:val="24"/>
                <w:szCs w:val="24"/>
                <w:u w:val="none"/>
              </w:rPr>
            </w:pPr>
          </w:p>
        </w:tc>
        <w:tc>
          <w:tcPr>
            <w:tcW w:w="2967" w:type="dxa"/>
            <w:shd w:val="clear" w:color="auto" w:fill="auto"/>
            <w:vAlign w:val="center"/>
          </w:tcPr>
          <w:p w14:paraId="2F9159E2">
            <w:pPr>
              <w:keepNext w:val="0"/>
              <w:keepLines w:val="0"/>
              <w:widowControl/>
              <w:numPr>
                <w:ilvl w:val="0"/>
                <w:numId w:val="0"/>
              </w:numPr>
              <w:suppressLineNumbers w:val="0"/>
              <w:spacing w:line="240" w:lineRule="auto"/>
              <w:jc w:val="left"/>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1、安装不符合使用说明书规定的附墙架；</w:t>
            </w:r>
          </w:p>
          <w:p w14:paraId="627CCFAB">
            <w:pPr>
              <w:keepNext w:val="0"/>
              <w:keepLines w:val="0"/>
              <w:widowControl/>
              <w:numPr>
                <w:ilvl w:val="0"/>
                <w:numId w:val="0"/>
              </w:numPr>
              <w:suppressLineNumbers w:val="0"/>
              <w:spacing w:line="240" w:lineRule="auto"/>
              <w:jc w:val="left"/>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2、附墙架连接不符合要求。</w:t>
            </w:r>
          </w:p>
        </w:tc>
        <w:tc>
          <w:tcPr>
            <w:tcW w:w="8133" w:type="dxa"/>
            <w:shd w:val="clear" w:color="auto" w:fill="auto"/>
            <w:vAlign w:val="center"/>
          </w:tcPr>
          <w:p w14:paraId="1C56E7D3">
            <w:pPr>
              <w:keepNext w:val="0"/>
              <w:keepLines w:val="0"/>
              <w:widowControl/>
              <w:numPr>
                <w:ilvl w:val="0"/>
                <w:numId w:val="0"/>
              </w:numPr>
              <w:suppressLineNumbers w:val="0"/>
              <w:spacing w:line="240" w:lineRule="auto"/>
              <w:jc w:val="left"/>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1、安装不符合使用说明书规定的附墙装置未在施工方案中明确，且未经设计计算或原制造单位确认同意；</w:t>
            </w:r>
          </w:p>
          <w:p w14:paraId="662F98F3">
            <w:pPr>
              <w:keepNext w:val="0"/>
              <w:keepLines w:val="0"/>
              <w:widowControl/>
              <w:numPr>
                <w:ilvl w:val="0"/>
                <w:numId w:val="0"/>
              </w:numPr>
              <w:suppressLineNumbers w:val="0"/>
              <w:spacing w:line="240" w:lineRule="auto"/>
              <w:jc w:val="left"/>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2、附墙架与导轨架的连接不紧固或与建筑结构连接松动，出现相互错动；连接处建筑结构发生开裂或有连接失效现象。</w:t>
            </w:r>
          </w:p>
        </w:tc>
        <w:tc>
          <w:tcPr>
            <w:tcW w:w="1834" w:type="dxa"/>
            <w:vMerge w:val="continue"/>
            <w:shd w:val="clear" w:color="auto" w:fill="auto"/>
            <w:vAlign w:val="center"/>
          </w:tcPr>
          <w:p w14:paraId="61D2E0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14:paraId="081D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0" w:hRule="atLeast"/>
        </w:trPr>
        <w:tc>
          <w:tcPr>
            <w:tcW w:w="450" w:type="dxa"/>
            <w:vMerge w:val="continue"/>
            <w:shd w:val="clear" w:color="auto" w:fill="auto"/>
            <w:vAlign w:val="center"/>
          </w:tcPr>
          <w:p w14:paraId="3089D7D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06" w:type="dxa"/>
            <w:vMerge w:val="continue"/>
            <w:shd w:val="clear" w:color="auto" w:fill="auto"/>
            <w:vAlign w:val="center"/>
          </w:tcPr>
          <w:p w14:paraId="572B7265">
            <w:pPr>
              <w:keepNext w:val="0"/>
              <w:keepLines w:val="0"/>
              <w:widowControl/>
              <w:numPr>
                <w:ilvl w:val="0"/>
                <w:numId w:val="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p>
        </w:tc>
        <w:tc>
          <w:tcPr>
            <w:tcW w:w="2967" w:type="dxa"/>
            <w:shd w:val="clear" w:color="auto" w:fill="auto"/>
            <w:vAlign w:val="center"/>
          </w:tcPr>
          <w:p w14:paraId="3DA7391C">
            <w:pPr>
              <w:keepNext w:val="0"/>
              <w:keepLines w:val="0"/>
              <w:widowControl/>
              <w:numPr>
                <w:ilvl w:val="0"/>
                <w:numId w:val="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1、对重钢丝绳达到报废标准；</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2、绳端固定不符合要求；</w:t>
            </w:r>
          </w:p>
          <w:p w14:paraId="14D87945">
            <w:pPr>
              <w:keepNext w:val="0"/>
              <w:keepLines w:val="0"/>
              <w:widowControl/>
              <w:numPr>
                <w:ilvl w:val="0"/>
                <w:numId w:val="0"/>
              </w:numPr>
              <w:suppressLineNumbers w:val="0"/>
              <w:spacing w:line="240" w:lineRule="auto"/>
              <w:ind w:leftChars="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3、天轮防钢丝绳脱出保护失效；</w:t>
            </w:r>
          </w:p>
          <w:p w14:paraId="4B2B7A51">
            <w:pPr>
              <w:keepNext w:val="0"/>
              <w:keepLines w:val="0"/>
              <w:widowControl/>
              <w:numPr>
                <w:ilvl w:val="0"/>
                <w:numId w:val="0"/>
              </w:numPr>
              <w:suppressLineNumbers w:val="0"/>
              <w:spacing w:line="240" w:lineRule="auto"/>
              <w:ind w:leftChars="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4、对重导轮与轨道配合不可靠。</w:t>
            </w:r>
          </w:p>
        </w:tc>
        <w:tc>
          <w:tcPr>
            <w:tcW w:w="8133" w:type="dxa"/>
            <w:shd w:val="clear" w:color="auto" w:fill="auto"/>
            <w:vAlign w:val="top"/>
          </w:tcPr>
          <w:p w14:paraId="046B1D7C">
            <w:pPr>
              <w:keepNext w:val="0"/>
              <w:keepLines w:val="0"/>
              <w:widowControl/>
              <w:numPr>
                <w:ilvl w:val="0"/>
                <w:numId w:val="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1、对重钢丝绳达到GB/T 5972-2023规定的报废标准；</w:t>
            </w:r>
          </w:p>
          <w:p w14:paraId="2A1A1390">
            <w:pPr>
              <w:keepNext w:val="0"/>
              <w:keepLines w:val="0"/>
              <w:widowControl/>
              <w:numPr>
                <w:ilvl w:val="0"/>
                <w:numId w:val="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钢丝绳绳端固定松动，钢丝绳受力后有滑移现象，用绳夹固定时，全部马鞍型夹座未安装在受力绳一侧，起升钢丝绳的各绳夹间距小于2倍大于5倍钢丝绳直径，绳夹数：直径≤18mm时少于2个；直径＞18～26mm时少于3个；</w:t>
            </w:r>
          </w:p>
          <w:p w14:paraId="3E109DE6">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3、天轮钢丝绳防脱装置未设置或失效；</w:t>
            </w:r>
          </w:p>
          <w:p w14:paraId="5FE04199">
            <w:pPr>
              <w:keepNext w:val="0"/>
              <w:keepLines w:val="0"/>
              <w:widowControl/>
              <w:numPr>
                <w:ilvl w:val="0"/>
                <w:numId w:val="0"/>
              </w:numPr>
              <w:suppressLineNumbers w:val="0"/>
              <w:spacing w:line="240" w:lineRule="auto"/>
              <w:ind w:left="0" w:leftChars="0" w:firstLine="0" w:firstLineChars="0"/>
              <w:jc w:val="left"/>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4、对重导轮为4轮形式，且推向一侧时，轮轨重叠量小于4mm；或导轨变形、接头错位2mm及以上超过4处，或对重运行有严重阻卡现象。</w:t>
            </w:r>
          </w:p>
        </w:tc>
        <w:tc>
          <w:tcPr>
            <w:tcW w:w="1834" w:type="dxa"/>
            <w:vMerge w:val="continue"/>
            <w:shd w:val="clear" w:color="auto" w:fill="auto"/>
            <w:vAlign w:val="center"/>
          </w:tcPr>
          <w:p w14:paraId="0ED0257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14:paraId="49EA0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450" w:type="dxa"/>
            <w:vMerge w:val="continue"/>
            <w:shd w:val="clear" w:color="auto" w:fill="auto"/>
            <w:vAlign w:val="center"/>
          </w:tcPr>
          <w:p w14:paraId="1150740E">
            <w:pPr>
              <w:jc w:val="center"/>
              <w:rPr>
                <w:rFonts w:hint="eastAsia" w:ascii="宋体" w:hAnsi="宋体" w:eastAsia="宋体" w:cs="宋体"/>
                <w:i w:val="0"/>
                <w:iCs w:val="0"/>
                <w:color w:val="000000"/>
                <w:sz w:val="24"/>
                <w:szCs w:val="24"/>
                <w:u w:val="none"/>
              </w:rPr>
            </w:pPr>
          </w:p>
        </w:tc>
        <w:tc>
          <w:tcPr>
            <w:tcW w:w="706" w:type="dxa"/>
            <w:vMerge w:val="continue"/>
            <w:shd w:val="clear" w:color="auto" w:fill="auto"/>
            <w:vAlign w:val="center"/>
          </w:tcPr>
          <w:p w14:paraId="40682998">
            <w:pPr>
              <w:keepNext w:val="0"/>
              <w:keepLines w:val="0"/>
              <w:widowControl/>
              <w:numPr>
                <w:ilvl w:val="0"/>
                <w:numId w:val="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p>
        </w:tc>
        <w:tc>
          <w:tcPr>
            <w:tcW w:w="2967" w:type="dxa"/>
            <w:shd w:val="clear" w:color="auto" w:fill="auto"/>
            <w:vAlign w:val="center"/>
          </w:tcPr>
          <w:p w14:paraId="23766AF9">
            <w:pPr>
              <w:keepNext w:val="0"/>
              <w:keepLines w:val="0"/>
              <w:widowControl/>
              <w:numPr>
                <w:ilvl w:val="0"/>
                <w:numId w:val="3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齿轮齿条固定松动；</w:t>
            </w:r>
          </w:p>
          <w:p w14:paraId="102C6E08">
            <w:pPr>
              <w:keepNext w:val="0"/>
              <w:keepLines w:val="0"/>
              <w:widowControl/>
              <w:numPr>
                <w:ilvl w:val="0"/>
                <w:numId w:val="3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齿轮齿条缺（断）齿或严重磨损；</w:t>
            </w:r>
          </w:p>
          <w:p w14:paraId="09A4D92C">
            <w:pPr>
              <w:keepNext w:val="0"/>
              <w:keepLines w:val="0"/>
              <w:widowControl/>
              <w:numPr>
                <w:ilvl w:val="0"/>
                <w:numId w:val="3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两齿条结合面明显错位。</w:t>
            </w:r>
          </w:p>
        </w:tc>
        <w:tc>
          <w:tcPr>
            <w:tcW w:w="8133" w:type="dxa"/>
            <w:shd w:val="clear" w:color="auto" w:fill="auto"/>
            <w:vAlign w:val="center"/>
          </w:tcPr>
          <w:p w14:paraId="3E725FD5">
            <w:pPr>
              <w:keepNext w:val="0"/>
              <w:keepLines w:val="0"/>
              <w:widowControl/>
              <w:numPr>
                <w:ilvl w:val="0"/>
                <w:numId w:val="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1、齿轮齿条固定松动且工作时有错动现象；</w:t>
            </w:r>
          </w:p>
          <w:p w14:paraId="3DC5694B">
            <w:pPr>
              <w:keepNext w:val="0"/>
              <w:keepLines w:val="0"/>
              <w:widowControl/>
              <w:numPr>
                <w:ilvl w:val="0"/>
                <w:numId w:val="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2、齿轮与齿条缺（断）齿或齿厚减小量达到2mm及以上；</w:t>
            </w:r>
          </w:p>
          <w:p w14:paraId="0E4CB561">
            <w:pPr>
              <w:keepNext w:val="0"/>
              <w:keepLines w:val="0"/>
              <w:widowControl/>
              <w:numPr>
                <w:ilvl w:val="0"/>
                <w:numId w:val="0"/>
              </w:numPr>
              <w:suppressLineNumbers w:val="0"/>
              <w:spacing w:line="240" w:lineRule="auto"/>
              <w:jc w:val="left"/>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3、两齿条结合面错位量达到1.5mm及以上且数量达3处及以上。</w:t>
            </w:r>
          </w:p>
        </w:tc>
        <w:tc>
          <w:tcPr>
            <w:tcW w:w="1834" w:type="dxa"/>
            <w:vMerge w:val="continue"/>
            <w:shd w:val="clear" w:color="auto" w:fill="auto"/>
            <w:vAlign w:val="center"/>
          </w:tcPr>
          <w:p w14:paraId="71D853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14:paraId="079F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450" w:type="dxa"/>
            <w:vMerge w:val="restart"/>
            <w:shd w:val="clear" w:color="auto" w:fill="auto"/>
            <w:vAlign w:val="center"/>
          </w:tcPr>
          <w:p w14:paraId="559A14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06" w:type="dxa"/>
            <w:vMerge w:val="restart"/>
            <w:shd w:val="clear" w:color="auto" w:fill="auto"/>
            <w:vAlign w:val="center"/>
          </w:tcPr>
          <w:p w14:paraId="485C734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安全保护装置</w:t>
            </w:r>
          </w:p>
        </w:tc>
        <w:tc>
          <w:tcPr>
            <w:tcW w:w="2967" w:type="dxa"/>
            <w:shd w:val="clear" w:color="auto" w:fill="auto"/>
            <w:vAlign w:val="center"/>
          </w:tcPr>
          <w:p w14:paraId="7E9E3F71">
            <w:pPr>
              <w:keepNext w:val="0"/>
              <w:keepLines w:val="0"/>
              <w:widowControl/>
              <w:numPr>
                <w:ilvl w:val="0"/>
                <w:numId w:val="31"/>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吊笼安全钩缺失；</w:t>
            </w:r>
          </w:p>
          <w:p w14:paraId="4166E279">
            <w:pPr>
              <w:keepNext w:val="0"/>
              <w:keepLines w:val="0"/>
              <w:widowControl/>
              <w:numPr>
                <w:ilvl w:val="0"/>
                <w:numId w:val="31"/>
              </w:numPr>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吊笼安全钩固定不符合要求。</w:t>
            </w:r>
          </w:p>
        </w:tc>
        <w:tc>
          <w:tcPr>
            <w:tcW w:w="8133" w:type="dxa"/>
            <w:shd w:val="clear" w:color="auto" w:fill="auto"/>
            <w:vAlign w:val="center"/>
          </w:tcPr>
          <w:p w14:paraId="149C1287">
            <w:pPr>
              <w:keepNext w:val="0"/>
              <w:keepLines w:val="0"/>
              <w:widowControl/>
              <w:numPr>
                <w:ilvl w:val="0"/>
                <w:numId w:val="32"/>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吊笼安全钩有1处及以上未有效安装，或安装位置不符合要求；</w:t>
            </w:r>
          </w:p>
          <w:p w14:paraId="2BDAFF72">
            <w:pPr>
              <w:keepNext w:val="0"/>
              <w:keepLines w:val="0"/>
              <w:widowControl/>
              <w:numPr>
                <w:ilvl w:val="0"/>
                <w:numId w:val="32"/>
              </w:numPr>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螺栓连接的吊笼安全钩一对及以上明显松动；或半数以上未采用说明书规定规格的高强螺栓连接。</w:t>
            </w:r>
          </w:p>
        </w:tc>
        <w:tc>
          <w:tcPr>
            <w:tcW w:w="1834" w:type="dxa"/>
            <w:vMerge w:val="restart"/>
            <w:shd w:val="clear" w:color="auto" w:fill="auto"/>
            <w:vAlign w:val="center"/>
          </w:tcPr>
          <w:p w14:paraId="122DC2F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r w14:paraId="11F3B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450" w:type="dxa"/>
            <w:vMerge w:val="continue"/>
            <w:shd w:val="clear" w:color="auto" w:fill="auto"/>
            <w:vAlign w:val="center"/>
          </w:tcPr>
          <w:p w14:paraId="0C9E6C27">
            <w:pPr>
              <w:jc w:val="center"/>
              <w:rPr>
                <w:rFonts w:hint="eastAsia" w:ascii="宋体" w:hAnsi="宋体" w:eastAsia="宋体" w:cs="宋体"/>
                <w:i w:val="0"/>
                <w:iCs w:val="0"/>
                <w:color w:val="000000"/>
                <w:sz w:val="24"/>
                <w:szCs w:val="24"/>
                <w:u w:val="none"/>
              </w:rPr>
            </w:pPr>
          </w:p>
        </w:tc>
        <w:tc>
          <w:tcPr>
            <w:tcW w:w="706" w:type="dxa"/>
            <w:vMerge w:val="continue"/>
            <w:shd w:val="clear" w:color="auto" w:fill="auto"/>
            <w:vAlign w:val="center"/>
          </w:tcPr>
          <w:p w14:paraId="2942F56E">
            <w:pPr>
              <w:spacing w:line="240" w:lineRule="auto"/>
              <w:jc w:val="left"/>
              <w:rPr>
                <w:rFonts w:hint="eastAsia" w:ascii="宋体" w:hAnsi="宋体" w:eastAsia="宋体" w:cs="宋体"/>
                <w:i w:val="0"/>
                <w:iCs w:val="0"/>
                <w:color w:val="000000"/>
                <w:sz w:val="21"/>
                <w:szCs w:val="21"/>
                <w:u w:val="none"/>
              </w:rPr>
            </w:pPr>
          </w:p>
        </w:tc>
        <w:tc>
          <w:tcPr>
            <w:tcW w:w="2967" w:type="dxa"/>
            <w:shd w:val="clear" w:color="auto" w:fill="auto"/>
            <w:vAlign w:val="center"/>
          </w:tcPr>
          <w:p w14:paraId="48852B7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主要安全装置安装不齐全，或虽安装但功能失效。</w:t>
            </w:r>
          </w:p>
        </w:tc>
        <w:tc>
          <w:tcPr>
            <w:tcW w:w="8133" w:type="dxa"/>
            <w:shd w:val="clear" w:color="auto" w:fill="auto"/>
            <w:vAlign w:val="center"/>
          </w:tcPr>
          <w:p w14:paraId="1708E4DE">
            <w:pPr>
              <w:keepNext w:val="0"/>
              <w:keepLines w:val="0"/>
              <w:widowControl/>
              <w:suppressLineNumbers w:val="0"/>
              <w:spacing w:line="240" w:lineRule="auto"/>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1、吊笼的上下限位开关均未安装或失效；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2、极限开关未安装或失效；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3、急停开关未安装；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4、起重量限制器未安装。</w:t>
            </w:r>
          </w:p>
        </w:tc>
        <w:tc>
          <w:tcPr>
            <w:tcW w:w="1834" w:type="dxa"/>
            <w:vMerge w:val="continue"/>
            <w:shd w:val="clear" w:color="auto" w:fill="auto"/>
            <w:vAlign w:val="center"/>
          </w:tcPr>
          <w:p w14:paraId="72D0B49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p>
        </w:tc>
      </w:tr>
      <w:tr w14:paraId="67EC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trPr>
        <w:tc>
          <w:tcPr>
            <w:tcW w:w="450" w:type="dxa"/>
            <w:vMerge w:val="continue"/>
            <w:shd w:val="clear" w:color="auto" w:fill="auto"/>
            <w:vAlign w:val="center"/>
          </w:tcPr>
          <w:p w14:paraId="25C2268F">
            <w:pPr>
              <w:jc w:val="center"/>
              <w:rPr>
                <w:rFonts w:hint="eastAsia" w:ascii="宋体" w:hAnsi="宋体" w:eastAsia="宋体" w:cs="宋体"/>
                <w:i w:val="0"/>
                <w:iCs w:val="0"/>
                <w:color w:val="000000"/>
                <w:sz w:val="24"/>
                <w:szCs w:val="24"/>
                <w:u w:val="none"/>
              </w:rPr>
            </w:pPr>
          </w:p>
        </w:tc>
        <w:tc>
          <w:tcPr>
            <w:tcW w:w="706" w:type="dxa"/>
            <w:vMerge w:val="continue"/>
            <w:shd w:val="clear" w:color="auto" w:fill="auto"/>
            <w:vAlign w:val="center"/>
          </w:tcPr>
          <w:p w14:paraId="6F7C4152">
            <w:pPr>
              <w:spacing w:line="240" w:lineRule="auto"/>
              <w:jc w:val="left"/>
              <w:rPr>
                <w:rFonts w:hint="eastAsia" w:ascii="宋体" w:hAnsi="宋体" w:eastAsia="宋体" w:cs="宋体"/>
                <w:i w:val="0"/>
                <w:iCs w:val="0"/>
                <w:color w:val="000000"/>
                <w:sz w:val="21"/>
                <w:szCs w:val="21"/>
                <w:u w:val="none"/>
              </w:rPr>
            </w:pPr>
          </w:p>
        </w:tc>
        <w:tc>
          <w:tcPr>
            <w:tcW w:w="2967" w:type="dxa"/>
            <w:shd w:val="clear" w:color="auto" w:fill="auto"/>
            <w:vAlign w:val="center"/>
          </w:tcPr>
          <w:p w14:paraId="5ED91D08">
            <w:pPr>
              <w:keepNext w:val="0"/>
              <w:keepLines w:val="0"/>
              <w:widowControl/>
              <w:numPr>
                <w:ilvl w:val="0"/>
                <w:numId w:val="33"/>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有对重的施工升降机，当对重质量大于吊笼质量时，未设置双向防坠安全器或对重防坠安全器；</w:t>
            </w:r>
          </w:p>
          <w:p w14:paraId="22FCD217">
            <w:pPr>
              <w:keepNext w:val="0"/>
              <w:keepLines w:val="0"/>
              <w:widowControl/>
              <w:numPr>
                <w:ilvl w:val="0"/>
                <w:numId w:val="33"/>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防坠安全器未安装；</w:t>
            </w:r>
          </w:p>
          <w:p w14:paraId="7DB0536D">
            <w:pPr>
              <w:keepNext w:val="0"/>
              <w:keepLines w:val="0"/>
              <w:widowControl/>
              <w:numPr>
                <w:ilvl w:val="0"/>
                <w:numId w:val="33"/>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防坠安全器状态不符合要求。</w:t>
            </w:r>
          </w:p>
        </w:tc>
        <w:tc>
          <w:tcPr>
            <w:tcW w:w="8133" w:type="dxa"/>
            <w:shd w:val="clear" w:color="auto" w:fill="auto"/>
            <w:vAlign w:val="center"/>
          </w:tcPr>
          <w:p w14:paraId="6CADAB4E">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1、有对重的施工升降机，当对重质量大于吊笼质量时，未设置双向防坠安全器或对重防坠安全器；</w:t>
            </w:r>
          </w:p>
          <w:p w14:paraId="59DB350E">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2、防坠安全器未安装且吊笼无停用标识及措施；</w:t>
            </w:r>
          </w:p>
          <w:p w14:paraId="44792186">
            <w:pPr>
              <w:keepNext w:val="0"/>
              <w:keepLines w:val="0"/>
              <w:widowControl/>
              <w:suppressLineNumbers w:val="0"/>
              <w:spacing w:line="240" w:lineRule="auto"/>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3、防坠安全器制动力和动作速度参数不符合，或防坠安全器已动作仍在使用；或正反向防坠器安装错误。</w:t>
            </w:r>
          </w:p>
        </w:tc>
        <w:tc>
          <w:tcPr>
            <w:tcW w:w="1834" w:type="dxa"/>
            <w:vMerge w:val="continue"/>
            <w:shd w:val="clear" w:color="auto" w:fill="auto"/>
            <w:vAlign w:val="center"/>
          </w:tcPr>
          <w:p w14:paraId="3659216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p>
        </w:tc>
      </w:tr>
      <w:tr w14:paraId="4D84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450" w:type="dxa"/>
            <w:vMerge w:val="continue"/>
            <w:shd w:val="clear" w:color="auto" w:fill="auto"/>
            <w:vAlign w:val="center"/>
          </w:tcPr>
          <w:p w14:paraId="49969B0C">
            <w:pPr>
              <w:jc w:val="center"/>
              <w:rPr>
                <w:rFonts w:hint="eastAsia" w:ascii="宋体" w:hAnsi="宋体" w:eastAsia="宋体" w:cs="宋体"/>
                <w:i w:val="0"/>
                <w:iCs w:val="0"/>
                <w:color w:val="000000"/>
                <w:sz w:val="24"/>
                <w:szCs w:val="24"/>
                <w:u w:val="none"/>
              </w:rPr>
            </w:pPr>
          </w:p>
        </w:tc>
        <w:tc>
          <w:tcPr>
            <w:tcW w:w="706" w:type="dxa"/>
            <w:vMerge w:val="continue"/>
            <w:shd w:val="clear" w:color="auto" w:fill="auto"/>
            <w:vAlign w:val="center"/>
          </w:tcPr>
          <w:p w14:paraId="189D9C95">
            <w:pPr>
              <w:spacing w:line="240" w:lineRule="auto"/>
              <w:jc w:val="left"/>
              <w:rPr>
                <w:rFonts w:hint="eastAsia" w:ascii="宋体" w:hAnsi="宋体" w:eastAsia="宋体" w:cs="宋体"/>
                <w:i w:val="0"/>
                <w:iCs w:val="0"/>
                <w:color w:val="000000"/>
                <w:sz w:val="21"/>
                <w:szCs w:val="21"/>
                <w:u w:val="none"/>
              </w:rPr>
            </w:pPr>
          </w:p>
        </w:tc>
        <w:tc>
          <w:tcPr>
            <w:tcW w:w="2967" w:type="dxa"/>
            <w:shd w:val="clear" w:color="auto" w:fill="auto"/>
            <w:vAlign w:val="center"/>
          </w:tcPr>
          <w:p w14:paraId="2657B7B1">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1、防坠安全器未在标定有效期使用；</w:t>
            </w:r>
          </w:p>
          <w:p w14:paraId="47D5DA24">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2、防坠安全器超过出厂使用年限。</w:t>
            </w:r>
          </w:p>
        </w:tc>
        <w:tc>
          <w:tcPr>
            <w:tcW w:w="8133" w:type="dxa"/>
            <w:shd w:val="clear" w:color="auto" w:fill="auto"/>
            <w:vAlign w:val="center"/>
          </w:tcPr>
          <w:p w14:paraId="54E2B321">
            <w:pPr>
              <w:keepNext w:val="0"/>
              <w:keepLines w:val="0"/>
              <w:widowControl/>
              <w:numPr>
                <w:ilvl w:val="0"/>
                <w:numId w:val="34"/>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防坠安全器超过标定有效期；</w:t>
            </w:r>
          </w:p>
          <w:p w14:paraId="0E27955D">
            <w:pPr>
              <w:keepNext w:val="0"/>
              <w:keepLines w:val="0"/>
              <w:widowControl/>
              <w:numPr>
                <w:ilvl w:val="0"/>
                <w:numId w:val="34"/>
              </w:numPr>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防坠安全器使用年限超过5年。</w:t>
            </w:r>
          </w:p>
        </w:tc>
        <w:tc>
          <w:tcPr>
            <w:tcW w:w="1834" w:type="dxa"/>
            <w:vMerge w:val="continue"/>
            <w:shd w:val="clear" w:color="auto" w:fill="auto"/>
            <w:vAlign w:val="center"/>
          </w:tcPr>
          <w:p w14:paraId="6107647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p>
        </w:tc>
      </w:tr>
    </w:tbl>
    <w:p w14:paraId="7CA15719">
      <w:pPr>
        <w:keepNext w:val="0"/>
        <w:keepLines w:val="0"/>
        <w:pageBreakBefore w:val="0"/>
        <w:widowControl w:val="0"/>
        <w:kinsoku/>
        <w:wordWrap/>
        <w:overflowPunct/>
        <w:topLinePunct w:val="0"/>
        <w:autoSpaceDE/>
        <w:autoSpaceDN/>
        <w:bidi w:val="0"/>
        <w:adjustRightInd/>
        <w:snapToGrid w:val="0"/>
        <w:spacing w:before="313" w:beforeLines="100" w:line="240" w:lineRule="auto"/>
        <w:jc w:val="center"/>
        <w:textAlignment w:val="auto"/>
        <w:rPr>
          <w:rFonts w:hint="eastAsia" w:ascii="宋体" w:hAnsi="宋体" w:eastAsia="宋体" w:cs="宋体"/>
          <w:b w:val="0"/>
          <w:bCs w:val="0"/>
          <w:kern w:val="2"/>
          <w:sz w:val="24"/>
          <w:szCs w:val="24"/>
          <w:shd w:val="clear"/>
          <w:lang w:val="en-US" w:eastAsia="zh-CN" w:bidi="ar-SA"/>
        </w:rPr>
      </w:pPr>
    </w:p>
    <w:p w14:paraId="0F35542D">
      <w:pPr>
        <w:keepNext w:val="0"/>
        <w:keepLines w:val="0"/>
        <w:pageBreakBefore w:val="0"/>
        <w:widowControl w:val="0"/>
        <w:kinsoku/>
        <w:wordWrap/>
        <w:overflowPunct/>
        <w:topLinePunct w:val="0"/>
        <w:autoSpaceDE/>
        <w:autoSpaceDN/>
        <w:bidi w:val="0"/>
        <w:adjustRightInd/>
        <w:snapToGrid w:val="0"/>
        <w:spacing w:before="313" w:beforeLines="100" w:line="240" w:lineRule="auto"/>
        <w:jc w:val="center"/>
        <w:textAlignment w:val="auto"/>
        <w:rPr>
          <w:rFonts w:hint="default" w:ascii="sans-serif" w:hAnsi="sans-serif" w:eastAsia="宋体" w:cs="sans-serif"/>
          <w:b/>
          <w:bCs/>
          <w:i w:val="0"/>
          <w:caps w:val="0"/>
          <w:color w:val="FF0000"/>
          <w:spacing w:val="0"/>
          <w:sz w:val="24"/>
          <w:szCs w:val="24"/>
          <w:shd w:val="clear" w:fill="FFFFFF"/>
          <w:lang w:val="en-US" w:eastAsia="zh-CN"/>
        </w:rPr>
      </w:pPr>
      <w:r>
        <w:rPr>
          <w:rFonts w:hint="eastAsia" w:ascii="宋体" w:hAnsi="宋体" w:eastAsia="宋体" w:cs="宋体"/>
          <w:b w:val="0"/>
          <w:bCs w:val="0"/>
          <w:kern w:val="2"/>
          <w:sz w:val="24"/>
          <w:szCs w:val="24"/>
          <w:shd w:val="clear"/>
          <w:lang w:val="en-US" w:eastAsia="zh-CN" w:bidi="ar-SA"/>
        </w:rPr>
        <w:t>表4  货用</w:t>
      </w:r>
      <w:r>
        <w:rPr>
          <w:rFonts w:hint="eastAsia" w:ascii="宋体" w:hAnsi="宋体" w:eastAsia="宋体" w:cs="宋体"/>
          <w:b w:val="0"/>
          <w:bCs w:val="0"/>
          <w:color w:val="auto"/>
          <w:kern w:val="2"/>
          <w:sz w:val="24"/>
          <w:szCs w:val="24"/>
          <w:shd w:val="clear"/>
          <w:lang w:val="en-US" w:eastAsia="zh-CN" w:bidi="ar-SA"/>
        </w:rPr>
        <w:t>施工升降机红线隐患负面清单</w:t>
      </w:r>
    </w:p>
    <w:tbl>
      <w:tblPr>
        <w:tblStyle w:val="16"/>
        <w:tblW w:w="1410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51"/>
        <w:gridCol w:w="716"/>
        <w:gridCol w:w="2933"/>
        <w:gridCol w:w="8134"/>
        <w:gridCol w:w="1866"/>
      </w:tblGrid>
      <w:tr w14:paraId="58B4D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2" w:hRule="atLeast"/>
          <w:tblHeader/>
        </w:trPr>
        <w:tc>
          <w:tcPr>
            <w:tcW w:w="451" w:type="dxa"/>
            <w:shd w:val="clear" w:color="auto" w:fill="auto"/>
            <w:vAlign w:val="center"/>
          </w:tcPr>
          <w:p w14:paraId="694CAA83">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i w:val="0"/>
                <w:iCs w:val="0"/>
                <w:color w:val="000000"/>
                <w:kern w:val="0"/>
                <w:sz w:val="21"/>
                <w:szCs w:val="21"/>
                <w:u w:val="none"/>
                <w:lang w:val="en-US" w:eastAsia="zh-CN" w:bidi="ar"/>
              </w:rPr>
              <w:t>序号</w:t>
            </w:r>
          </w:p>
        </w:tc>
        <w:tc>
          <w:tcPr>
            <w:tcW w:w="716" w:type="dxa"/>
            <w:shd w:val="clear" w:color="auto" w:fill="auto"/>
            <w:vAlign w:val="center"/>
          </w:tcPr>
          <w:p w14:paraId="1B58BDA8">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i w:val="0"/>
                <w:iCs w:val="0"/>
                <w:color w:val="000000"/>
                <w:kern w:val="0"/>
                <w:sz w:val="21"/>
                <w:szCs w:val="21"/>
                <w:u w:val="none"/>
                <w:lang w:val="en-US" w:eastAsia="zh-CN" w:bidi="ar"/>
              </w:rPr>
              <w:t>分类</w:t>
            </w:r>
          </w:p>
        </w:tc>
        <w:tc>
          <w:tcPr>
            <w:tcW w:w="2933" w:type="dxa"/>
            <w:shd w:val="clear" w:color="auto" w:fill="auto"/>
            <w:vAlign w:val="center"/>
          </w:tcPr>
          <w:p w14:paraId="42E58E04">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i w:val="0"/>
                <w:iCs w:val="0"/>
                <w:color w:val="000000"/>
                <w:kern w:val="0"/>
                <w:sz w:val="21"/>
                <w:szCs w:val="21"/>
                <w:u w:val="none"/>
                <w:lang w:val="en-US" w:eastAsia="zh-CN" w:bidi="ar"/>
              </w:rPr>
              <w:t>红线隐患</w:t>
            </w:r>
          </w:p>
        </w:tc>
        <w:tc>
          <w:tcPr>
            <w:tcW w:w="8134" w:type="dxa"/>
            <w:shd w:val="clear" w:color="auto" w:fill="auto"/>
            <w:vAlign w:val="center"/>
          </w:tcPr>
          <w:p w14:paraId="14105C8F">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val="0"/>
                <w:bCs/>
                <w:i w:val="0"/>
                <w:iCs w:val="0"/>
                <w:color w:val="000000"/>
                <w:kern w:val="0"/>
                <w:sz w:val="21"/>
                <w:szCs w:val="21"/>
                <w:u w:val="none"/>
                <w:lang w:val="en-US" w:eastAsia="zh-CN" w:bidi="ar"/>
              </w:rPr>
              <w:t>细化描述</w:t>
            </w:r>
          </w:p>
        </w:tc>
        <w:tc>
          <w:tcPr>
            <w:tcW w:w="1866" w:type="dxa"/>
            <w:shd w:val="clear" w:color="auto" w:fill="auto"/>
            <w:vAlign w:val="center"/>
          </w:tcPr>
          <w:p w14:paraId="1334061F">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i w:val="0"/>
                <w:iCs w:val="0"/>
                <w:color w:val="000000"/>
                <w:kern w:val="0"/>
                <w:sz w:val="21"/>
                <w:szCs w:val="21"/>
                <w:u w:val="none"/>
                <w:lang w:val="en-US" w:eastAsia="zh-CN" w:bidi="ar"/>
              </w:rPr>
              <w:t>责任单位</w:t>
            </w:r>
          </w:p>
        </w:tc>
      </w:tr>
      <w:tr w14:paraId="3418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trPr>
        <w:tc>
          <w:tcPr>
            <w:tcW w:w="451" w:type="dxa"/>
            <w:shd w:val="clear" w:color="auto" w:fill="auto"/>
            <w:vAlign w:val="center"/>
          </w:tcPr>
          <w:p w14:paraId="1BAE9BC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716" w:type="dxa"/>
            <w:shd w:val="clear" w:color="auto" w:fill="auto"/>
            <w:vAlign w:val="center"/>
          </w:tcPr>
          <w:p w14:paraId="10EA654D">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资料</w:t>
            </w:r>
          </w:p>
        </w:tc>
        <w:tc>
          <w:tcPr>
            <w:tcW w:w="2933" w:type="dxa"/>
            <w:shd w:val="clear" w:color="auto" w:fill="auto"/>
            <w:vAlign w:val="center"/>
          </w:tcPr>
          <w:p w14:paraId="53F1519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1、无检验检测报告、使用登记证、安装方案、设备月检记录；</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2、设备实际状况与资料不符。</w:t>
            </w:r>
          </w:p>
        </w:tc>
        <w:tc>
          <w:tcPr>
            <w:tcW w:w="8134" w:type="dxa"/>
            <w:shd w:val="clear" w:color="auto" w:fill="auto"/>
            <w:vAlign w:val="center"/>
          </w:tcPr>
          <w:p w14:paraId="256E0250">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1、无有效安装检验报告；</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2、按规定时间超过1个月未办理使用登记；</w:t>
            </w:r>
          </w:p>
          <w:p w14:paraId="60CA7BBB">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3、设备超过JGJ189使用年限，未做安全评估；</w:t>
            </w:r>
          </w:p>
          <w:p w14:paraId="22C7F8E6">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4、未提供安装方案；</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5、无检查前三个月月度检查记录；</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6、设备实际状况与资料不符。</w:t>
            </w:r>
          </w:p>
        </w:tc>
        <w:tc>
          <w:tcPr>
            <w:tcW w:w="1866" w:type="dxa"/>
            <w:shd w:val="clear" w:color="auto" w:fill="auto"/>
            <w:vAlign w:val="center"/>
          </w:tcPr>
          <w:p w14:paraId="6A850731">
            <w:pPr>
              <w:spacing w:line="240" w:lineRule="auto"/>
              <w:ind w:firstLine="0" w:firstLineChars="0"/>
              <w:jc w:val="left"/>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1、总包（使用）单位、监理单位</w:t>
            </w:r>
            <w:r>
              <w:rPr>
                <w:rFonts w:hint="eastAsia" w:ascii="宋体" w:hAnsi="宋体" w:eastAsia="宋体" w:cs="宋体"/>
                <w:i w:val="0"/>
                <w:iCs w:val="0"/>
                <w:color w:val="000000"/>
                <w:sz w:val="21"/>
                <w:szCs w:val="21"/>
                <w:u w:val="none"/>
                <w:lang w:val="en-US" w:eastAsia="zh-CN"/>
              </w:rPr>
              <w:br w:type="textWrapping"/>
            </w:r>
            <w:r>
              <w:rPr>
                <w:rFonts w:hint="eastAsia" w:ascii="宋体" w:hAnsi="宋体" w:eastAsia="宋体" w:cs="宋体"/>
                <w:i w:val="0"/>
                <w:iCs w:val="0"/>
                <w:color w:val="000000"/>
                <w:sz w:val="21"/>
                <w:szCs w:val="21"/>
                <w:u w:val="none"/>
                <w:lang w:val="en-US" w:eastAsia="zh-CN"/>
              </w:rPr>
              <w:t>2、安装（维保）单位</w:t>
            </w:r>
          </w:p>
        </w:tc>
      </w:tr>
      <w:tr w14:paraId="048F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3" w:hRule="atLeast"/>
        </w:trPr>
        <w:tc>
          <w:tcPr>
            <w:tcW w:w="451" w:type="dxa"/>
            <w:shd w:val="clear" w:color="auto" w:fill="auto"/>
            <w:vAlign w:val="center"/>
          </w:tcPr>
          <w:p w14:paraId="31AE6C2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16" w:type="dxa"/>
            <w:shd w:val="clear" w:color="auto" w:fill="auto"/>
            <w:vAlign w:val="center"/>
          </w:tcPr>
          <w:p w14:paraId="5F397A2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作业环境</w:t>
            </w:r>
          </w:p>
        </w:tc>
        <w:tc>
          <w:tcPr>
            <w:tcW w:w="2933" w:type="dxa"/>
            <w:shd w:val="clear" w:color="auto" w:fill="auto"/>
            <w:vAlign w:val="center"/>
          </w:tcPr>
          <w:p w14:paraId="5D5F4978">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设备用于超过25米及以上的建设工程（适用于井架式）。</w:t>
            </w:r>
          </w:p>
        </w:tc>
        <w:tc>
          <w:tcPr>
            <w:tcW w:w="8134" w:type="dxa"/>
            <w:shd w:val="clear" w:color="auto" w:fill="auto"/>
            <w:vAlign w:val="center"/>
          </w:tcPr>
          <w:p w14:paraId="3557AF3B">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不得用于超过25米及以上的建设工程（适用于井架式）。</w:t>
            </w:r>
          </w:p>
        </w:tc>
        <w:tc>
          <w:tcPr>
            <w:tcW w:w="1866" w:type="dxa"/>
            <w:shd w:val="clear" w:color="auto" w:fill="auto"/>
            <w:vAlign w:val="center"/>
          </w:tcPr>
          <w:p w14:paraId="1E975EDF">
            <w:pPr>
              <w:spacing w:line="240" w:lineRule="auto"/>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1、安装（维保）单位</w:t>
            </w:r>
            <w:r>
              <w:rPr>
                <w:rFonts w:hint="eastAsia" w:ascii="宋体" w:hAnsi="宋体" w:eastAsia="宋体" w:cs="宋体"/>
                <w:i w:val="0"/>
                <w:iCs w:val="0"/>
                <w:color w:val="000000"/>
                <w:sz w:val="21"/>
                <w:szCs w:val="21"/>
                <w:u w:val="none"/>
                <w:lang w:val="en-US" w:eastAsia="zh-CN"/>
              </w:rPr>
              <w:br w:type="textWrapping"/>
            </w:r>
            <w:r>
              <w:rPr>
                <w:rFonts w:hint="eastAsia" w:ascii="宋体" w:hAnsi="宋体" w:eastAsia="宋体" w:cs="宋体"/>
                <w:i w:val="0"/>
                <w:iCs w:val="0"/>
                <w:color w:val="000000"/>
                <w:sz w:val="21"/>
                <w:szCs w:val="21"/>
                <w:u w:val="none"/>
                <w:lang w:val="en-US" w:eastAsia="zh-CN"/>
              </w:rPr>
              <w:t>2、总包（使用）单位、监理单位</w:t>
            </w:r>
          </w:p>
        </w:tc>
      </w:tr>
      <w:tr w14:paraId="2521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51" w:type="dxa"/>
            <w:shd w:val="clear" w:color="auto" w:fill="auto"/>
            <w:vAlign w:val="center"/>
          </w:tcPr>
          <w:p w14:paraId="7C38119E">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716" w:type="dxa"/>
            <w:shd w:val="clear" w:color="auto" w:fill="auto"/>
            <w:vAlign w:val="center"/>
          </w:tcPr>
          <w:p w14:paraId="48F5961E">
            <w:pPr>
              <w:keepNext w:val="0"/>
              <w:keepLines w:val="0"/>
              <w:widowControl/>
              <w:suppressLineNumbers w:val="0"/>
              <w:spacing w:line="240" w:lineRule="auto"/>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基础</w:t>
            </w:r>
          </w:p>
        </w:tc>
        <w:tc>
          <w:tcPr>
            <w:tcW w:w="2933" w:type="dxa"/>
            <w:shd w:val="clear" w:color="auto" w:fill="auto"/>
            <w:vAlign w:val="center"/>
          </w:tcPr>
          <w:p w14:paraId="6285C9C1">
            <w:pPr>
              <w:keepNext w:val="0"/>
              <w:keepLines w:val="0"/>
              <w:widowControl/>
              <w:numPr>
                <w:ilvl w:val="0"/>
                <w:numId w:val="35"/>
              </w:numPr>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基础严重积水；</w:t>
            </w:r>
          </w:p>
          <w:p w14:paraId="5E1C4F5B">
            <w:pPr>
              <w:keepNext w:val="0"/>
              <w:keepLines w:val="0"/>
              <w:widowControl/>
              <w:numPr>
                <w:ilvl w:val="0"/>
                <w:numId w:val="35"/>
              </w:numPr>
              <w:suppressLineNumbers w:val="0"/>
              <w:spacing w:line="240" w:lineRule="auto"/>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基础设置不符合说明书规定。</w:t>
            </w:r>
          </w:p>
        </w:tc>
        <w:tc>
          <w:tcPr>
            <w:tcW w:w="8134" w:type="dxa"/>
            <w:shd w:val="clear" w:color="auto" w:fill="auto"/>
            <w:vAlign w:val="center"/>
          </w:tcPr>
          <w:p w14:paraId="4A62175C">
            <w:pPr>
              <w:keepNext w:val="0"/>
              <w:keepLines w:val="0"/>
              <w:widowControl/>
              <w:numPr>
                <w:ilvl w:val="0"/>
                <w:numId w:val="36"/>
              </w:numPr>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基础积水面积达到50%及以上仍在使用；</w:t>
            </w:r>
          </w:p>
          <w:p w14:paraId="309F166F">
            <w:pPr>
              <w:keepNext w:val="0"/>
              <w:keepLines w:val="0"/>
              <w:widowControl/>
              <w:numPr>
                <w:ilvl w:val="0"/>
                <w:numId w:val="36"/>
              </w:numPr>
              <w:suppressLineNumbers w:val="0"/>
              <w:spacing w:line="240" w:lineRule="auto"/>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不设基础利用原地面，且不在安装方案中明确；底架无固定措施或用钢筋压弯代替；</w:t>
            </w:r>
          </w:p>
          <w:p w14:paraId="676414DA">
            <w:pPr>
              <w:keepNext w:val="0"/>
              <w:keepLines w:val="0"/>
              <w:widowControl/>
              <w:numPr>
                <w:ilvl w:val="0"/>
                <w:numId w:val="0"/>
              </w:numPr>
              <w:suppressLineNumbers w:val="0"/>
              <w:spacing w:line="240" w:lineRule="auto"/>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3、不设卷扬机或曳引机基础，并利用钢管扣件顶撑固定。</w:t>
            </w:r>
          </w:p>
        </w:tc>
        <w:tc>
          <w:tcPr>
            <w:tcW w:w="1866" w:type="dxa"/>
            <w:shd w:val="clear" w:color="auto" w:fill="auto"/>
            <w:vAlign w:val="center"/>
          </w:tcPr>
          <w:p w14:paraId="148DC2ED">
            <w:pPr>
              <w:spacing w:line="240" w:lineRule="auto"/>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1、总包（使用）单位、监理单位</w:t>
            </w:r>
            <w:r>
              <w:rPr>
                <w:rFonts w:hint="eastAsia" w:ascii="宋体" w:hAnsi="宋体" w:eastAsia="宋体" w:cs="宋体"/>
                <w:i w:val="0"/>
                <w:iCs w:val="0"/>
                <w:color w:val="000000"/>
                <w:sz w:val="21"/>
                <w:szCs w:val="21"/>
                <w:u w:val="none"/>
                <w:lang w:val="en-US" w:eastAsia="zh-CN"/>
              </w:rPr>
              <w:br w:type="textWrapping"/>
            </w:r>
            <w:r>
              <w:rPr>
                <w:rFonts w:hint="eastAsia" w:ascii="宋体" w:hAnsi="宋体" w:eastAsia="宋体" w:cs="宋体"/>
                <w:i w:val="0"/>
                <w:iCs w:val="0"/>
                <w:color w:val="000000"/>
                <w:sz w:val="21"/>
                <w:szCs w:val="21"/>
                <w:u w:val="none"/>
                <w:lang w:val="en-US" w:eastAsia="zh-CN"/>
              </w:rPr>
              <w:t>2、安装（维保）单位</w:t>
            </w:r>
          </w:p>
        </w:tc>
      </w:tr>
      <w:tr w14:paraId="04ED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57" w:hRule="atLeast"/>
        </w:trPr>
        <w:tc>
          <w:tcPr>
            <w:tcW w:w="451" w:type="dxa"/>
            <w:vMerge w:val="restart"/>
            <w:shd w:val="clear" w:color="auto" w:fill="auto"/>
            <w:vAlign w:val="center"/>
          </w:tcPr>
          <w:p w14:paraId="2015A72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16" w:type="dxa"/>
            <w:vMerge w:val="restart"/>
            <w:shd w:val="clear" w:color="auto" w:fill="auto"/>
            <w:vAlign w:val="center"/>
          </w:tcPr>
          <w:p w14:paraId="2C6368F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主要受力结构件</w:t>
            </w:r>
          </w:p>
        </w:tc>
        <w:tc>
          <w:tcPr>
            <w:tcW w:w="2933" w:type="dxa"/>
            <w:shd w:val="clear" w:color="auto" w:fill="auto"/>
            <w:vAlign w:val="center"/>
          </w:tcPr>
          <w:p w14:paraId="3B19C444">
            <w:pPr>
              <w:keepNext w:val="0"/>
              <w:keepLines w:val="0"/>
              <w:widowControl/>
              <w:numPr>
                <w:ilvl w:val="0"/>
                <w:numId w:val="37"/>
              </w:numPr>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附着装置与说明书不符；</w:t>
            </w:r>
          </w:p>
          <w:p w14:paraId="7457F851">
            <w:pPr>
              <w:keepNext w:val="0"/>
              <w:keepLines w:val="0"/>
              <w:widowControl/>
              <w:numPr>
                <w:ilvl w:val="0"/>
                <w:numId w:val="37"/>
              </w:numPr>
              <w:suppressLineNumbers w:val="0"/>
              <w:spacing w:line="240" w:lineRule="auto"/>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附着杆及缆风绳固定不符合要求。</w:t>
            </w:r>
          </w:p>
        </w:tc>
        <w:tc>
          <w:tcPr>
            <w:tcW w:w="8134" w:type="dxa"/>
            <w:shd w:val="clear" w:color="auto" w:fill="auto"/>
            <w:vAlign w:val="center"/>
          </w:tcPr>
          <w:p w14:paraId="2B064FFE">
            <w:pPr>
              <w:keepNext w:val="0"/>
              <w:keepLines w:val="0"/>
              <w:widowControl/>
              <w:numPr>
                <w:ilvl w:val="0"/>
                <w:numId w:val="38"/>
              </w:numPr>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附着装置道数设置与说明书不符；</w:t>
            </w:r>
          </w:p>
          <w:p w14:paraId="137EFA03">
            <w:pPr>
              <w:keepNext w:val="0"/>
              <w:keepLines w:val="0"/>
              <w:widowControl/>
              <w:numPr>
                <w:ilvl w:val="0"/>
                <w:numId w:val="38"/>
              </w:numPr>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附墙架与导轨架的连接不紧固或与建筑结构连接松动，出现相互错动；连接处建筑结构发生开裂有连接失效现象；</w:t>
            </w:r>
          </w:p>
          <w:p w14:paraId="09645737">
            <w:pPr>
              <w:keepNext w:val="0"/>
              <w:keepLines w:val="0"/>
              <w:widowControl/>
              <w:numPr>
                <w:ilvl w:val="0"/>
                <w:numId w:val="38"/>
              </w:numPr>
              <w:suppressLineNumbers w:val="0"/>
              <w:spacing w:line="240" w:lineRule="auto"/>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架体外侧两点未附着且未设缆风绳（适用于井架式）；</w:t>
            </w:r>
          </w:p>
          <w:p w14:paraId="5BF37BD4">
            <w:pPr>
              <w:keepNext w:val="0"/>
              <w:keepLines w:val="0"/>
              <w:widowControl/>
              <w:numPr>
                <w:ilvl w:val="0"/>
                <w:numId w:val="38"/>
              </w:numPr>
              <w:suppressLineNumbers w:val="0"/>
              <w:spacing w:line="240" w:lineRule="auto"/>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附着杆或缆风绳安装于外架上（适用于井架式）；</w:t>
            </w:r>
          </w:p>
          <w:p w14:paraId="754B26CB">
            <w:pPr>
              <w:keepNext w:val="0"/>
              <w:keepLines w:val="0"/>
              <w:widowControl/>
              <w:numPr>
                <w:ilvl w:val="0"/>
                <w:numId w:val="0"/>
              </w:numPr>
              <w:suppressLineNumbers w:val="0"/>
              <w:spacing w:line="240" w:lineRule="auto"/>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5、附着杆或缆风绳地锚固定明显松动且达2处及以上（适用于井架式）。</w:t>
            </w:r>
          </w:p>
        </w:tc>
        <w:tc>
          <w:tcPr>
            <w:tcW w:w="1866" w:type="dxa"/>
            <w:vMerge w:val="restart"/>
            <w:shd w:val="clear" w:color="auto" w:fill="auto"/>
            <w:vAlign w:val="center"/>
          </w:tcPr>
          <w:p w14:paraId="140B6302">
            <w:pPr>
              <w:spacing w:line="240" w:lineRule="auto"/>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1、安装（维保）单位</w:t>
            </w:r>
            <w:r>
              <w:rPr>
                <w:rFonts w:hint="eastAsia" w:ascii="宋体" w:hAnsi="宋体" w:eastAsia="宋体" w:cs="宋体"/>
                <w:i w:val="0"/>
                <w:iCs w:val="0"/>
                <w:color w:val="000000"/>
                <w:sz w:val="21"/>
                <w:szCs w:val="21"/>
                <w:u w:val="none"/>
                <w:lang w:val="en-US" w:eastAsia="zh-CN"/>
              </w:rPr>
              <w:br w:type="textWrapping"/>
            </w:r>
            <w:r>
              <w:rPr>
                <w:rFonts w:hint="eastAsia" w:ascii="宋体" w:hAnsi="宋体" w:eastAsia="宋体" w:cs="宋体"/>
                <w:i w:val="0"/>
                <w:iCs w:val="0"/>
                <w:color w:val="000000"/>
                <w:sz w:val="21"/>
                <w:szCs w:val="21"/>
                <w:u w:val="none"/>
                <w:lang w:val="en-US" w:eastAsia="zh-CN"/>
              </w:rPr>
              <w:t>2、总包（使用）单位、监理单位</w:t>
            </w:r>
          </w:p>
        </w:tc>
      </w:tr>
      <w:tr w14:paraId="1D881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60" w:hRule="atLeast"/>
        </w:trPr>
        <w:tc>
          <w:tcPr>
            <w:tcW w:w="451" w:type="dxa"/>
            <w:vMerge w:val="continue"/>
            <w:shd w:val="clear" w:color="auto" w:fill="auto"/>
            <w:vAlign w:val="center"/>
          </w:tcPr>
          <w:p w14:paraId="7D4D46F9">
            <w:pPr>
              <w:spacing w:line="240" w:lineRule="auto"/>
              <w:jc w:val="center"/>
              <w:rPr>
                <w:rFonts w:hint="eastAsia" w:ascii="宋体" w:hAnsi="宋体" w:eastAsia="宋体" w:cs="宋体"/>
                <w:i w:val="0"/>
                <w:iCs w:val="0"/>
                <w:color w:val="000000"/>
                <w:sz w:val="21"/>
                <w:szCs w:val="21"/>
                <w:u w:val="none"/>
              </w:rPr>
            </w:pPr>
          </w:p>
        </w:tc>
        <w:tc>
          <w:tcPr>
            <w:tcW w:w="716" w:type="dxa"/>
            <w:vMerge w:val="continue"/>
            <w:shd w:val="clear" w:color="auto" w:fill="auto"/>
            <w:vAlign w:val="center"/>
          </w:tcPr>
          <w:p w14:paraId="24817DE2">
            <w:pPr>
              <w:spacing w:line="240" w:lineRule="auto"/>
              <w:jc w:val="center"/>
              <w:rPr>
                <w:rFonts w:hint="eastAsia" w:ascii="宋体" w:hAnsi="宋体" w:eastAsia="宋体" w:cs="宋体"/>
                <w:i w:val="0"/>
                <w:iCs w:val="0"/>
                <w:color w:val="000000"/>
                <w:sz w:val="21"/>
                <w:szCs w:val="21"/>
                <w:u w:val="none"/>
              </w:rPr>
            </w:pPr>
          </w:p>
        </w:tc>
        <w:tc>
          <w:tcPr>
            <w:tcW w:w="2933" w:type="dxa"/>
            <w:shd w:val="clear" w:color="auto" w:fill="auto"/>
            <w:vAlign w:val="center"/>
          </w:tcPr>
          <w:p w14:paraId="586048C0">
            <w:pPr>
              <w:keepNext w:val="0"/>
              <w:keepLines w:val="0"/>
              <w:widowControl/>
              <w:numPr>
                <w:ilvl w:val="0"/>
                <w:numId w:val="39"/>
              </w:numPr>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标准节立管壁厚减少量达原壁厚的25%，角钢型立杆壁厚锈蚀达10%；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2、标准节立管变形失稳、存在可见裂纹；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3、井架立杆变形或存在可见裂纹；</w:t>
            </w:r>
          </w:p>
          <w:p w14:paraId="1DE26A15">
            <w:pPr>
              <w:keepNext w:val="0"/>
              <w:keepLines w:val="0"/>
              <w:widowControl/>
              <w:numPr>
                <w:ilvl w:val="0"/>
                <w:numId w:val="0"/>
              </w:numPr>
              <w:suppressLineNumbers w:val="0"/>
              <w:spacing w:line="240" w:lineRule="auto"/>
              <w:ind w:left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4、井架架体出料侧多处拆除腹杆无加强措施；</w:t>
            </w:r>
          </w:p>
          <w:p w14:paraId="4F61DF9C">
            <w:pPr>
              <w:keepNext w:val="0"/>
              <w:keepLines w:val="0"/>
              <w:widowControl/>
              <w:numPr>
                <w:ilvl w:val="0"/>
                <w:numId w:val="0"/>
              </w:numPr>
              <w:suppressLineNumbers w:val="0"/>
              <w:spacing w:line="240" w:lineRule="auto"/>
              <w:ind w:leftChars="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5、架体垂直度超标。</w:t>
            </w:r>
          </w:p>
        </w:tc>
        <w:tc>
          <w:tcPr>
            <w:tcW w:w="8134" w:type="dxa"/>
            <w:shd w:val="clear" w:color="auto" w:fill="auto"/>
            <w:vAlign w:val="center"/>
          </w:tcPr>
          <w:p w14:paraId="4965FE61">
            <w:pPr>
              <w:keepNext w:val="0"/>
              <w:keepLines w:val="0"/>
              <w:widowControl/>
              <w:suppressLineNumbers w:val="0"/>
              <w:spacing w:line="240" w:lineRule="auto"/>
              <w:jc w:val="both"/>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1、标准节立管壁厚减少量达原壁厚的25%，或角钢型立杆锈蚀磨损达10%；</w:t>
            </w:r>
          </w:p>
          <w:p w14:paraId="0D9738D5">
            <w:pPr>
              <w:keepNext w:val="0"/>
              <w:keepLines w:val="0"/>
              <w:widowControl/>
              <w:suppressLineNumbers w:val="0"/>
              <w:spacing w:line="240" w:lineRule="auto"/>
              <w:jc w:val="both"/>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2、标准节立管发生明显变形失稳，变形量达到或超过3</w:t>
            </w:r>
            <w:r>
              <w:rPr>
                <w:rFonts w:hint="default" w:ascii="Arial" w:hAnsi="Arial" w:eastAsia="宋体" w:cs="Arial"/>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、或存在可见裂纹；</w:t>
            </w:r>
          </w:p>
          <w:p w14:paraId="5B2C532B">
            <w:pPr>
              <w:keepNext w:val="0"/>
              <w:keepLines w:val="0"/>
              <w:widowControl/>
              <w:suppressLineNumbers w:val="0"/>
              <w:spacing w:line="240" w:lineRule="auto"/>
              <w:jc w:val="both"/>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3、井架立杆变形达到或超过</w:t>
            </w:r>
            <w:r>
              <w:rPr>
                <w:rFonts w:hint="eastAsia" w:ascii="宋体" w:hAnsi="宋体" w:eastAsia="宋体" w:cs="宋体"/>
                <w:i w:val="0"/>
                <w:iCs w:val="0"/>
                <w:color w:val="000000"/>
                <w:kern w:val="0"/>
                <w:sz w:val="21"/>
                <w:szCs w:val="21"/>
                <w:u w:val="none"/>
                <w:lang w:val="en-US" w:eastAsia="zh-CN" w:bidi="ar"/>
              </w:rPr>
              <w:t>3</w:t>
            </w:r>
            <w:r>
              <w:rPr>
                <w:rFonts w:hint="default" w:ascii="Arial" w:hAnsi="Arial" w:eastAsia="宋体" w:cs="Arial"/>
                <w:i w:val="0"/>
                <w:iCs w:val="0"/>
                <w:color w:val="000000"/>
                <w:kern w:val="0"/>
                <w:sz w:val="21"/>
                <w:szCs w:val="21"/>
                <w:u w:val="none"/>
                <w:lang w:val="en-US" w:eastAsia="zh-CN" w:bidi="ar"/>
              </w:rPr>
              <w:t>‰</w:t>
            </w:r>
            <w:r>
              <w:rPr>
                <w:rFonts w:hint="eastAsia" w:ascii="Arial" w:hAnsi="Arial" w:eastAsia="宋体" w:cs="Arial"/>
                <w:i w:val="0"/>
                <w:iCs w:val="0"/>
                <w:color w:val="000000"/>
                <w:kern w:val="0"/>
                <w:sz w:val="21"/>
                <w:szCs w:val="21"/>
                <w:u w:val="none"/>
                <w:lang w:val="en-US" w:eastAsia="zh-CN" w:bidi="ar"/>
              </w:rPr>
              <w:t>，</w:t>
            </w:r>
            <w:r>
              <w:rPr>
                <w:rFonts w:hint="eastAsia" w:ascii="宋体" w:hAnsi="宋体" w:eastAsia="宋体" w:cs="宋体"/>
                <w:b w:val="0"/>
                <w:i w:val="0"/>
                <w:iCs w:val="0"/>
                <w:color w:val="000000"/>
                <w:kern w:val="0"/>
                <w:sz w:val="21"/>
                <w:szCs w:val="21"/>
                <w:u w:val="none"/>
                <w:lang w:val="en-US" w:eastAsia="zh-CN" w:bidi="ar"/>
              </w:rPr>
              <w:t>或</w:t>
            </w:r>
            <w:r>
              <w:rPr>
                <w:rFonts w:hint="eastAsia" w:ascii="宋体" w:hAnsi="宋体" w:eastAsia="宋体" w:cs="宋体"/>
                <w:i w:val="0"/>
                <w:iCs w:val="0"/>
                <w:color w:val="000000"/>
                <w:kern w:val="0"/>
                <w:sz w:val="21"/>
                <w:szCs w:val="21"/>
                <w:u w:val="none"/>
                <w:lang w:val="en-US" w:eastAsia="zh-CN" w:bidi="ar"/>
              </w:rPr>
              <w:t>存在可见裂纹；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4、井架架体出料侧3处及以上拆除腹杆无加强措施；</w:t>
            </w:r>
          </w:p>
          <w:p w14:paraId="722A649A">
            <w:pPr>
              <w:keepNext w:val="0"/>
              <w:keepLines w:val="0"/>
              <w:widowControl/>
              <w:suppressLineNumbers w:val="0"/>
              <w:spacing w:line="240" w:lineRule="auto"/>
              <w:jc w:val="both"/>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5、架体安装垂直度偏差达到6</w:t>
            </w:r>
            <w:r>
              <w:rPr>
                <w:rFonts w:hint="default" w:ascii="Arial" w:hAnsi="Arial" w:eastAsia="宋体" w:cs="Arial"/>
                <w:i w:val="0"/>
                <w:iCs w:val="0"/>
                <w:color w:val="000000"/>
                <w:kern w:val="0"/>
                <w:sz w:val="21"/>
                <w:szCs w:val="21"/>
                <w:u w:val="none"/>
                <w:lang w:val="en-US" w:eastAsia="zh-CN" w:bidi="ar"/>
              </w:rPr>
              <w:t>‰</w:t>
            </w:r>
            <w:r>
              <w:rPr>
                <w:rFonts w:hint="eastAsia" w:ascii="Arial" w:hAnsi="Arial" w:eastAsia="宋体" w:cs="Arial"/>
                <w:i w:val="0"/>
                <w:iCs w:val="0"/>
                <w:color w:val="000000"/>
                <w:kern w:val="0"/>
                <w:sz w:val="21"/>
                <w:szCs w:val="21"/>
                <w:u w:val="none"/>
                <w:lang w:val="en-US" w:eastAsia="zh-CN" w:bidi="ar"/>
              </w:rPr>
              <w:t>及以上。</w:t>
            </w:r>
          </w:p>
        </w:tc>
        <w:tc>
          <w:tcPr>
            <w:tcW w:w="1866" w:type="dxa"/>
            <w:vMerge w:val="continue"/>
            <w:shd w:val="clear" w:color="auto" w:fill="auto"/>
            <w:vAlign w:val="center"/>
          </w:tcPr>
          <w:p w14:paraId="3C8245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14:paraId="03FAD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451" w:type="dxa"/>
            <w:vMerge w:val="continue"/>
            <w:shd w:val="clear" w:color="auto" w:fill="auto"/>
            <w:vAlign w:val="center"/>
          </w:tcPr>
          <w:p w14:paraId="732B3D4C">
            <w:pPr>
              <w:spacing w:line="240" w:lineRule="auto"/>
              <w:jc w:val="center"/>
              <w:rPr>
                <w:rFonts w:hint="eastAsia" w:ascii="宋体" w:hAnsi="宋体" w:eastAsia="宋体" w:cs="宋体"/>
                <w:i w:val="0"/>
                <w:iCs w:val="0"/>
                <w:color w:val="000000"/>
                <w:sz w:val="21"/>
                <w:szCs w:val="21"/>
                <w:u w:val="none"/>
              </w:rPr>
            </w:pPr>
          </w:p>
        </w:tc>
        <w:tc>
          <w:tcPr>
            <w:tcW w:w="716" w:type="dxa"/>
            <w:vMerge w:val="continue"/>
            <w:shd w:val="clear" w:color="auto" w:fill="auto"/>
            <w:vAlign w:val="center"/>
          </w:tcPr>
          <w:p w14:paraId="49F63F5C">
            <w:pPr>
              <w:spacing w:line="240" w:lineRule="auto"/>
              <w:jc w:val="center"/>
              <w:rPr>
                <w:rFonts w:hint="eastAsia" w:ascii="宋体" w:hAnsi="宋体" w:eastAsia="宋体" w:cs="宋体"/>
                <w:i w:val="0"/>
                <w:iCs w:val="0"/>
                <w:color w:val="000000"/>
                <w:sz w:val="21"/>
                <w:szCs w:val="21"/>
                <w:u w:val="none"/>
              </w:rPr>
            </w:pPr>
          </w:p>
        </w:tc>
        <w:tc>
          <w:tcPr>
            <w:tcW w:w="2933" w:type="dxa"/>
            <w:shd w:val="clear" w:color="auto" w:fill="auto"/>
            <w:vAlign w:val="center"/>
          </w:tcPr>
          <w:p w14:paraId="129D341F">
            <w:pPr>
              <w:keepNext w:val="0"/>
              <w:keepLines w:val="0"/>
              <w:widowControl/>
              <w:numPr>
                <w:ilvl w:val="0"/>
                <w:numId w:val="40"/>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导轨架或井架架体螺栓缺失或松动；</w:t>
            </w:r>
          </w:p>
          <w:p w14:paraId="73CCDB98">
            <w:pPr>
              <w:keepNext w:val="0"/>
              <w:keepLines w:val="0"/>
              <w:widowControl/>
              <w:numPr>
                <w:ilvl w:val="0"/>
                <w:numId w:val="40"/>
              </w:numPr>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轴端档板缺失、失效；</w:t>
            </w:r>
          </w:p>
          <w:p w14:paraId="44947882">
            <w:pPr>
              <w:keepNext w:val="0"/>
              <w:keepLines w:val="0"/>
              <w:widowControl/>
              <w:numPr>
                <w:ilvl w:val="0"/>
                <w:numId w:val="40"/>
              </w:numPr>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开口销打开角度严重不足。</w:t>
            </w:r>
          </w:p>
        </w:tc>
        <w:tc>
          <w:tcPr>
            <w:tcW w:w="8134" w:type="dxa"/>
            <w:shd w:val="clear" w:color="auto" w:fill="auto"/>
            <w:vAlign w:val="center"/>
          </w:tcPr>
          <w:p w14:paraId="53CB2280">
            <w:pPr>
              <w:keepNext w:val="0"/>
              <w:keepLines w:val="0"/>
              <w:widowControl/>
              <w:numPr>
                <w:ilvl w:val="0"/>
                <w:numId w:val="41"/>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导轨架或井架架体连接螺栓缺失或松动达到3处以上</w:t>
            </w:r>
            <w:r>
              <w:rPr>
                <w:rStyle w:val="2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或一个连接节点螺栓全部松动；</w:t>
            </w:r>
          </w:p>
          <w:p w14:paraId="6B75AA85">
            <w:pPr>
              <w:keepNext w:val="0"/>
              <w:keepLines w:val="0"/>
              <w:widowControl/>
              <w:numPr>
                <w:ilvl w:val="0"/>
                <w:numId w:val="41"/>
              </w:numPr>
              <w:suppressLineNumbers w:val="0"/>
              <w:spacing w:line="240" w:lineRule="auto"/>
              <w:ind w:left="0" w:leftChars="0" w:firstLine="0" w:firstLineChars="0"/>
              <w:jc w:val="left"/>
              <w:textAlignment w:val="center"/>
              <w:rPr>
                <w:rStyle w:val="25"/>
                <w:rFonts w:hint="eastAsia" w:ascii="宋体" w:hAnsi="宋体" w:eastAsia="宋体" w:cs="宋体"/>
                <w:sz w:val="21"/>
                <w:szCs w:val="21"/>
                <w:lang w:val="en-US" w:eastAsia="zh-CN" w:bidi="ar"/>
              </w:rPr>
            </w:pPr>
            <w:r>
              <w:rPr>
                <w:rStyle w:val="25"/>
                <w:rFonts w:hint="eastAsia" w:ascii="宋体" w:hAnsi="宋体" w:eastAsia="宋体" w:cs="宋体"/>
                <w:sz w:val="21"/>
                <w:szCs w:val="21"/>
                <w:lang w:val="en-US" w:eastAsia="zh-CN" w:bidi="ar"/>
              </w:rPr>
              <w:t>卷轴端档板缺失、失效，销轴有脱出现象；</w:t>
            </w:r>
          </w:p>
          <w:p w14:paraId="24C81CE5">
            <w:pPr>
              <w:keepNext w:val="0"/>
              <w:keepLines w:val="0"/>
              <w:widowControl/>
              <w:numPr>
                <w:ilvl w:val="0"/>
                <w:numId w:val="0"/>
              </w:numPr>
              <w:suppressLineNumbers w:val="0"/>
              <w:spacing w:line="240" w:lineRule="auto"/>
              <w:ind w:leftChars="0"/>
              <w:jc w:val="left"/>
              <w:textAlignment w:val="center"/>
              <w:rPr>
                <w:rFonts w:hint="default" w:ascii="宋体" w:hAnsi="宋体" w:eastAsia="宋体" w:cs="宋体"/>
                <w:i w:val="0"/>
                <w:iCs w:val="0"/>
                <w:color w:val="C00000"/>
                <w:sz w:val="21"/>
                <w:szCs w:val="21"/>
                <w:u w:val="none"/>
                <w:lang w:val="en-US"/>
              </w:rPr>
            </w:pPr>
            <w:r>
              <w:rPr>
                <w:rFonts w:hint="eastAsia" w:ascii="宋体" w:hAnsi="宋体" w:eastAsia="宋体" w:cs="宋体"/>
                <w:b w:val="0"/>
                <w:i w:val="0"/>
                <w:iCs w:val="0"/>
                <w:color w:val="000000"/>
                <w:kern w:val="0"/>
                <w:sz w:val="21"/>
                <w:szCs w:val="21"/>
                <w:u w:val="none"/>
                <w:lang w:val="en-US" w:eastAsia="zh-CN" w:bidi="ar"/>
              </w:rPr>
              <w:t>3、主要受力杆件销轴连接开口销打开角度小于30°且数量达到5处及以上；未安装或者未打开数量达到1处。</w:t>
            </w:r>
            <w:r>
              <w:rPr>
                <w:rFonts w:hint="eastAsia" w:ascii="宋体" w:hAnsi="宋体" w:eastAsia="宋体" w:cs="宋体"/>
                <w:b w:val="0"/>
                <w:i w:val="0"/>
                <w:iCs w:val="0"/>
                <w:color w:val="000000"/>
                <w:kern w:val="0"/>
                <w:sz w:val="21"/>
                <w:szCs w:val="21"/>
                <w:u w:val="none"/>
                <w:lang w:val="en-US" w:eastAsia="zh-CN" w:bidi="ar"/>
              </w:rPr>
              <w:br w:type="textWrapping"/>
            </w:r>
            <w:r>
              <w:rPr>
                <w:rStyle w:val="25"/>
                <w:rFonts w:hint="eastAsia" w:ascii="宋体" w:hAnsi="宋体" w:eastAsia="宋体" w:cs="宋体"/>
                <w:sz w:val="21"/>
                <w:szCs w:val="21"/>
                <w:lang w:val="en-US" w:eastAsia="zh-CN" w:bidi="ar"/>
              </w:rPr>
              <w:t>。</w:t>
            </w:r>
          </w:p>
        </w:tc>
        <w:tc>
          <w:tcPr>
            <w:tcW w:w="1866" w:type="dxa"/>
            <w:vMerge w:val="continue"/>
            <w:shd w:val="clear" w:color="auto" w:fill="auto"/>
            <w:vAlign w:val="center"/>
          </w:tcPr>
          <w:p w14:paraId="4C0D26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14:paraId="3588B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451" w:type="dxa"/>
            <w:shd w:val="clear" w:color="auto" w:fill="auto"/>
            <w:vAlign w:val="center"/>
          </w:tcPr>
          <w:p w14:paraId="273139E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16" w:type="dxa"/>
            <w:shd w:val="clear" w:color="auto" w:fill="auto"/>
            <w:vAlign w:val="center"/>
          </w:tcPr>
          <w:p w14:paraId="0C36108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主要零部件</w:t>
            </w:r>
          </w:p>
        </w:tc>
        <w:tc>
          <w:tcPr>
            <w:tcW w:w="2933" w:type="dxa"/>
            <w:shd w:val="clear" w:color="auto" w:fill="auto"/>
            <w:vAlign w:val="center"/>
          </w:tcPr>
          <w:p w14:paraId="64FF5EB9">
            <w:pPr>
              <w:keepNext w:val="0"/>
              <w:keepLines w:val="0"/>
              <w:widowControl/>
              <w:numPr>
                <w:ilvl w:val="0"/>
                <w:numId w:val="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1、钢丝绳达到报废标准；</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2、绳端固定不符合要求；</w:t>
            </w:r>
          </w:p>
          <w:p w14:paraId="3FCAC832">
            <w:pPr>
              <w:keepNext w:val="0"/>
              <w:keepLines w:val="0"/>
              <w:widowControl/>
              <w:numPr>
                <w:ilvl w:val="0"/>
                <w:numId w:val="0"/>
              </w:numPr>
              <w:suppressLineNumbers w:val="0"/>
              <w:spacing w:line="240" w:lineRule="auto"/>
              <w:ind w:leftChars="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3、曳引轮、天轮防钢丝绳脱出保护失效；</w:t>
            </w:r>
          </w:p>
          <w:p w14:paraId="301544B0">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4、对重导轮与轨道配合不可靠；</w:t>
            </w:r>
          </w:p>
          <w:p w14:paraId="59584428">
            <w:pPr>
              <w:keepNext w:val="0"/>
              <w:keepLines w:val="0"/>
              <w:widowControl/>
              <w:numPr>
                <w:ilvl w:val="0"/>
                <w:numId w:val="0"/>
              </w:numPr>
              <w:suppressLineNumbers w:val="0"/>
              <w:spacing w:line="240" w:lineRule="auto"/>
              <w:ind w:left="0" w:leftChars="0" w:firstLine="0" w:firstLineChars="0"/>
              <w:jc w:val="left"/>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5、对重重量配置严重不足；</w:t>
            </w:r>
          </w:p>
          <w:p w14:paraId="16127A50">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6、吊笼门缺失；</w:t>
            </w:r>
          </w:p>
          <w:p w14:paraId="1134AF55">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7、吊笼导向轮缺失；</w:t>
            </w:r>
          </w:p>
          <w:p w14:paraId="4F8EBE8B">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 w:val="0"/>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多根钢丝绳提升的升降机，各绳受力严重不均匀</w:t>
            </w:r>
            <w:r>
              <w:rPr>
                <w:rFonts w:hint="eastAsia" w:ascii="宋体" w:hAnsi="宋体" w:eastAsia="宋体" w:cs="宋体"/>
                <w:b w:val="0"/>
                <w:i w:val="0"/>
                <w:iCs w:val="0"/>
                <w:color w:val="000000"/>
                <w:kern w:val="0"/>
                <w:sz w:val="21"/>
                <w:szCs w:val="21"/>
                <w:u w:val="none"/>
                <w:lang w:val="en-US" w:eastAsia="zh-CN" w:bidi="ar"/>
              </w:rPr>
              <w:t>。</w:t>
            </w:r>
          </w:p>
        </w:tc>
        <w:tc>
          <w:tcPr>
            <w:tcW w:w="8134" w:type="dxa"/>
            <w:shd w:val="clear" w:color="auto" w:fill="auto"/>
            <w:vAlign w:val="top"/>
          </w:tcPr>
          <w:p w14:paraId="785E2797">
            <w:pPr>
              <w:keepNext w:val="0"/>
              <w:keepLines w:val="0"/>
              <w:widowControl/>
              <w:numPr>
                <w:ilvl w:val="0"/>
                <w:numId w:val="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1、钢丝绳达到GB/T 5972-2023规定的报废标准；</w:t>
            </w:r>
          </w:p>
          <w:p w14:paraId="776FA614">
            <w:pPr>
              <w:keepNext w:val="0"/>
              <w:keepLines w:val="0"/>
              <w:widowControl/>
              <w:numPr>
                <w:ilvl w:val="0"/>
                <w:numId w:val="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2、钢丝绳绳端固定松动，钢丝绳受力后有滑移现象，用绳夹固定时，全部马鞍型夹座未安装在受力绳一侧，起升钢丝绳的各绳夹间距小于2倍大于5倍钢丝绳直径，绳夹数：直径≤18mm时少于2个；直径＞18～26mm时少于3个；</w:t>
            </w:r>
          </w:p>
          <w:p w14:paraId="3C18B3A8">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3、天轮、曳引轮防钢丝绳脱出保护未设置或全部失效；</w:t>
            </w:r>
          </w:p>
          <w:p w14:paraId="2CD99DED">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4、对重导轮运行有严重阻卡或出轨现象；</w:t>
            </w:r>
          </w:p>
          <w:p w14:paraId="6A6930FB">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5、对重重量配置严重不足，额定载重量下吊笼悬停无法正常再提升；</w:t>
            </w:r>
          </w:p>
          <w:p w14:paraId="3FF76CD8">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6、进出料门均未安装；</w:t>
            </w:r>
          </w:p>
          <w:p w14:paraId="76D498BC">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7、吊笼导向轮缺失2对及以上；</w:t>
            </w:r>
          </w:p>
          <w:p w14:paraId="4266B332">
            <w:pPr>
              <w:keepNext w:val="0"/>
              <w:keepLines w:val="0"/>
              <w:widowControl/>
              <w:numPr>
                <w:ilvl w:val="0"/>
                <w:numId w:val="0"/>
              </w:numPr>
              <w:suppressLineNumbers w:val="0"/>
              <w:spacing w:line="240" w:lineRule="auto"/>
              <w:ind w:left="0" w:leftChars="0" w:firstLine="0" w:firstLineChars="0"/>
              <w:jc w:val="left"/>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8、多根钢丝绳提升的升降机，有2根及以上绳明显松弛不受力。</w:t>
            </w:r>
          </w:p>
        </w:tc>
        <w:tc>
          <w:tcPr>
            <w:tcW w:w="1866" w:type="dxa"/>
            <w:shd w:val="clear" w:color="auto" w:fill="auto"/>
            <w:vAlign w:val="center"/>
          </w:tcPr>
          <w:p w14:paraId="1DB6DABF">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r w14:paraId="3413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451" w:type="dxa"/>
            <w:vMerge w:val="restart"/>
            <w:shd w:val="clear" w:color="auto" w:fill="auto"/>
            <w:vAlign w:val="center"/>
          </w:tcPr>
          <w:p w14:paraId="580A1E0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16" w:type="dxa"/>
            <w:vMerge w:val="restart"/>
            <w:shd w:val="clear" w:color="auto" w:fill="auto"/>
            <w:vAlign w:val="center"/>
          </w:tcPr>
          <w:p w14:paraId="2B75FC6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安全保护装置</w:t>
            </w:r>
          </w:p>
        </w:tc>
        <w:tc>
          <w:tcPr>
            <w:tcW w:w="2933" w:type="dxa"/>
            <w:shd w:val="clear" w:color="auto" w:fill="auto"/>
            <w:vAlign w:val="center"/>
          </w:tcPr>
          <w:p w14:paraId="44E88C28">
            <w:pPr>
              <w:keepNext w:val="0"/>
              <w:keepLines w:val="0"/>
              <w:widowControl/>
              <w:suppressLineNumbers w:val="0"/>
              <w:spacing w:line="240" w:lineRule="auto"/>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吊笼停层防坠落装置未设置或失效（适用于井架式）。</w:t>
            </w:r>
          </w:p>
        </w:tc>
        <w:tc>
          <w:tcPr>
            <w:tcW w:w="8134" w:type="dxa"/>
            <w:shd w:val="clear" w:color="auto" w:fill="auto"/>
            <w:vAlign w:val="center"/>
          </w:tcPr>
          <w:p w14:paraId="033AF9EE">
            <w:pPr>
              <w:keepNext w:val="0"/>
              <w:keepLines w:val="0"/>
              <w:widowControl/>
              <w:suppressLineNumbers w:val="0"/>
              <w:spacing w:line="240" w:lineRule="auto"/>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未设置吊笼停层防坠落装置；或停层防坠落装置完全失效（适用于井架式）。</w:t>
            </w:r>
          </w:p>
        </w:tc>
        <w:tc>
          <w:tcPr>
            <w:tcW w:w="1866" w:type="dxa"/>
            <w:vMerge w:val="restart"/>
            <w:shd w:val="clear" w:color="auto" w:fill="auto"/>
            <w:vAlign w:val="center"/>
          </w:tcPr>
          <w:p w14:paraId="408B256C">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r w14:paraId="7538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2" w:hRule="atLeast"/>
        </w:trPr>
        <w:tc>
          <w:tcPr>
            <w:tcW w:w="451" w:type="dxa"/>
            <w:vMerge w:val="continue"/>
            <w:shd w:val="clear" w:color="auto" w:fill="auto"/>
            <w:vAlign w:val="center"/>
          </w:tcPr>
          <w:p w14:paraId="184B313E">
            <w:pPr>
              <w:spacing w:line="240" w:lineRule="auto"/>
              <w:jc w:val="center"/>
              <w:rPr>
                <w:rFonts w:hint="eastAsia" w:ascii="宋体" w:hAnsi="宋体" w:eastAsia="宋体" w:cs="宋体"/>
                <w:i w:val="0"/>
                <w:iCs w:val="0"/>
                <w:color w:val="000000"/>
                <w:sz w:val="21"/>
                <w:szCs w:val="21"/>
                <w:u w:val="none"/>
              </w:rPr>
            </w:pPr>
          </w:p>
        </w:tc>
        <w:tc>
          <w:tcPr>
            <w:tcW w:w="716" w:type="dxa"/>
            <w:vMerge w:val="continue"/>
            <w:shd w:val="clear" w:color="auto" w:fill="auto"/>
            <w:vAlign w:val="center"/>
          </w:tcPr>
          <w:p w14:paraId="1EC05C72">
            <w:pPr>
              <w:spacing w:line="240" w:lineRule="auto"/>
              <w:jc w:val="center"/>
              <w:rPr>
                <w:rFonts w:hint="eastAsia" w:ascii="宋体" w:hAnsi="宋体" w:eastAsia="宋体" w:cs="宋体"/>
                <w:i w:val="0"/>
                <w:iCs w:val="0"/>
                <w:color w:val="000000"/>
                <w:sz w:val="21"/>
                <w:szCs w:val="21"/>
                <w:u w:val="none"/>
              </w:rPr>
            </w:pPr>
          </w:p>
        </w:tc>
        <w:tc>
          <w:tcPr>
            <w:tcW w:w="2933" w:type="dxa"/>
            <w:shd w:val="clear" w:color="auto" w:fill="auto"/>
            <w:vAlign w:val="center"/>
          </w:tcPr>
          <w:p w14:paraId="0012277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安全装置不齐全、失效。</w:t>
            </w:r>
          </w:p>
        </w:tc>
        <w:tc>
          <w:tcPr>
            <w:tcW w:w="8134" w:type="dxa"/>
            <w:shd w:val="clear" w:color="auto" w:fill="auto"/>
            <w:vAlign w:val="center"/>
          </w:tcPr>
          <w:p w14:paraId="72CF33C1">
            <w:pPr>
              <w:keepNext w:val="0"/>
              <w:keepLines w:val="0"/>
              <w:widowControl/>
              <w:numPr>
                <w:ilvl w:val="-1"/>
                <w:numId w:val="0"/>
              </w:numPr>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1、极限开关未安装或失效（适用于齿条式）；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2、上限位未安装或失效；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3、急停开关未安装；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4、起重量限制器未安装（适用于齿条式）；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5、防坠器未安装或安装严重松动（适用于井架式）；防坠安全器（适用于齿条式）超过标定有效期或防坠安全器（适用于齿条式）使用年限超过5年。</w:t>
            </w:r>
          </w:p>
        </w:tc>
        <w:tc>
          <w:tcPr>
            <w:tcW w:w="1866" w:type="dxa"/>
            <w:vMerge w:val="continue"/>
            <w:shd w:val="clear" w:color="auto" w:fill="auto"/>
            <w:vAlign w:val="center"/>
          </w:tcPr>
          <w:p w14:paraId="2482E9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bl>
    <w:p w14:paraId="5CA2ECDE">
      <w:pPr>
        <w:pStyle w:val="4"/>
        <w:rPr>
          <w:rFonts w:hint="default"/>
          <w:lang w:val="en-US" w:eastAsia="zh-CN"/>
        </w:rPr>
      </w:pPr>
    </w:p>
    <w:p w14:paraId="743EF58A">
      <w:pPr>
        <w:pStyle w:val="4"/>
        <w:rPr>
          <w:rFonts w:hint="default"/>
          <w:lang w:val="en-US" w:eastAsia="zh-CN"/>
        </w:rPr>
      </w:pPr>
    </w:p>
    <w:p w14:paraId="5973022E">
      <w:pPr>
        <w:jc w:val="center"/>
        <w:rPr>
          <w:rFonts w:hint="eastAsia" w:ascii="宋体" w:hAnsi="宋体" w:eastAsia="宋体" w:cs="宋体"/>
          <w:b w:val="0"/>
          <w:bCs w:val="0"/>
          <w:kern w:val="2"/>
          <w:sz w:val="24"/>
          <w:szCs w:val="24"/>
          <w:shd w:val="clear"/>
          <w:lang w:val="en-US" w:eastAsia="zh-CN" w:bidi="ar-SA"/>
        </w:rPr>
      </w:pPr>
    </w:p>
    <w:p w14:paraId="0529DAA8">
      <w:pPr>
        <w:jc w:val="center"/>
        <w:rPr>
          <w:rFonts w:hint="eastAsia" w:ascii="宋体" w:hAnsi="宋体" w:eastAsia="宋体" w:cs="宋体"/>
          <w:b w:val="0"/>
          <w:bCs w:val="0"/>
          <w:kern w:val="2"/>
          <w:sz w:val="24"/>
          <w:szCs w:val="24"/>
          <w:shd w:val="clear"/>
          <w:lang w:val="en-US" w:eastAsia="zh-CN" w:bidi="ar-SA"/>
        </w:rPr>
      </w:pPr>
    </w:p>
    <w:p w14:paraId="6DAE6B3F">
      <w:pPr>
        <w:jc w:val="center"/>
        <w:rPr>
          <w:rFonts w:hint="eastAsia" w:ascii="宋体" w:hAnsi="宋体" w:eastAsia="宋体" w:cs="宋体"/>
          <w:b w:val="0"/>
          <w:bCs w:val="0"/>
          <w:kern w:val="2"/>
          <w:sz w:val="24"/>
          <w:szCs w:val="24"/>
          <w:shd w:val="clear"/>
          <w:lang w:val="en-US" w:eastAsia="zh-CN" w:bidi="ar-SA"/>
        </w:rPr>
      </w:pPr>
    </w:p>
    <w:p w14:paraId="3CABD2F9">
      <w:pPr>
        <w:jc w:val="center"/>
        <w:rPr>
          <w:rFonts w:hint="default"/>
          <w:lang w:val="en-US" w:eastAsia="zh-CN"/>
        </w:rPr>
      </w:pPr>
      <w:r>
        <w:rPr>
          <w:rFonts w:hint="eastAsia" w:ascii="宋体" w:hAnsi="宋体" w:eastAsia="宋体" w:cs="宋体"/>
          <w:b w:val="0"/>
          <w:bCs w:val="0"/>
          <w:kern w:val="2"/>
          <w:sz w:val="24"/>
          <w:szCs w:val="24"/>
          <w:shd w:val="clear"/>
          <w:lang w:val="en-US" w:eastAsia="zh-CN" w:bidi="ar-SA"/>
        </w:rPr>
        <w:t xml:space="preserve">表5  </w:t>
      </w:r>
      <w:r>
        <w:rPr>
          <w:rFonts w:hint="eastAsia" w:ascii="宋体" w:hAnsi="宋体" w:eastAsia="宋体" w:cs="宋体"/>
          <w:b w:val="0"/>
          <w:bCs w:val="0"/>
          <w:color w:val="auto"/>
          <w:kern w:val="2"/>
          <w:sz w:val="24"/>
          <w:szCs w:val="24"/>
          <w:shd w:val="clear"/>
          <w:lang w:val="en-US" w:eastAsia="zh-CN" w:bidi="ar-SA"/>
        </w:rPr>
        <w:t>高处作业吊篮红线隐患负面</w:t>
      </w:r>
      <w:r>
        <w:rPr>
          <w:rFonts w:hint="eastAsia" w:ascii="宋体" w:hAnsi="宋体" w:eastAsia="宋体" w:cs="宋体"/>
          <w:color w:val="auto"/>
          <w:sz w:val="24"/>
          <w:szCs w:val="24"/>
          <w:lang w:val="en-US" w:eastAsia="zh-CN"/>
        </w:rPr>
        <w:t>清单</w:t>
      </w:r>
    </w:p>
    <w:tbl>
      <w:tblPr>
        <w:tblStyle w:val="16"/>
        <w:tblW w:w="141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4"/>
        <w:gridCol w:w="739"/>
        <w:gridCol w:w="2950"/>
        <w:gridCol w:w="8117"/>
        <w:gridCol w:w="1883"/>
      </w:tblGrid>
      <w:tr w14:paraId="6D469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blHeader/>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0A51">
            <w:pPr>
              <w:keepNext w:val="0"/>
              <w:keepLines w:val="0"/>
              <w:widowControl/>
              <w:suppressLineNumbers w:val="0"/>
              <w:spacing w:line="240" w:lineRule="auto"/>
              <w:ind w:firstLine="0" w:firstLineChars="0"/>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序号</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7B60">
            <w:pPr>
              <w:keepNext w:val="0"/>
              <w:keepLines w:val="0"/>
              <w:widowControl/>
              <w:suppressLineNumbers w:val="0"/>
              <w:spacing w:line="240" w:lineRule="auto"/>
              <w:ind w:firstLine="0" w:firstLineChars="0"/>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部件名称</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9704">
            <w:pPr>
              <w:keepNext w:val="0"/>
              <w:keepLines w:val="0"/>
              <w:widowControl/>
              <w:suppressLineNumbers w:val="0"/>
              <w:spacing w:line="240" w:lineRule="auto"/>
              <w:ind w:firstLine="0" w:firstLineChars="0"/>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红线隐患</w:t>
            </w:r>
          </w:p>
        </w:tc>
        <w:tc>
          <w:tcPr>
            <w:tcW w:w="8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9175">
            <w:pPr>
              <w:keepNext w:val="0"/>
              <w:keepLines w:val="0"/>
              <w:widowControl/>
              <w:suppressLineNumbers w:val="0"/>
              <w:spacing w:line="240" w:lineRule="auto"/>
              <w:ind w:firstLine="0" w:firstLineChars="0"/>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细化描述</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CA3F">
            <w:pPr>
              <w:keepNext w:val="0"/>
              <w:keepLines w:val="0"/>
              <w:widowControl/>
              <w:suppressLineNumbers w:val="0"/>
              <w:spacing w:line="240" w:lineRule="auto"/>
              <w:ind w:firstLine="0" w:firstLineChars="0"/>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责任单位</w:t>
            </w:r>
          </w:p>
        </w:tc>
      </w:tr>
      <w:tr w14:paraId="777D9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2"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541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000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资料</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FE2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1、达到论证要求且未进行技术论证；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2、吊篮实际安装形式与施工方案不符合。</w:t>
            </w:r>
          </w:p>
        </w:tc>
        <w:tc>
          <w:tcPr>
            <w:tcW w:w="8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C250">
            <w:pPr>
              <w:keepNext w:val="0"/>
              <w:keepLines w:val="0"/>
              <w:widowControl/>
              <w:suppressLineNumbers w:val="0"/>
              <w:spacing w:line="240" w:lineRule="auto"/>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 xml:space="preserve">1、未提供安装方案或相关专项论证报告；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2、吊篮实际安装形式与施工方案不符，且其安装参数不符合DBJ33/T1271-2022规定的特殊安装形式要求。</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DC4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1.总包（使用）单位、监理单位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2.安装（维保）单位</w:t>
            </w:r>
          </w:p>
        </w:tc>
      </w:tr>
      <w:tr w14:paraId="1B4B0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CED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F696">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结构件</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5107">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开口销打开角度不足，螺栓未紧固，轴端档板缺失、失效。</w:t>
            </w:r>
          </w:p>
        </w:tc>
        <w:tc>
          <w:tcPr>
            <w:tcW w:w="8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2B41">
            <w:pPr>
              <w:keepNext w:val="0"/>
              <w:keepLines w:val="0"/>
              <w:widowControl/>
              <w:numPr>
                <w:ilvl w:val="0"/>
                <w:numId w:val="0"/>
              </w:numPr>
              <w:suppressLineNumbers w:val="0"/>
              <w:spacing w:line="240" w:lineRule="auto"/>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1、提升机固定、钢丝绳悬挂和固定等以及类似部位受力销轴连接的开口销打开角度小于30°且数量达到1处及以上；</w:t>
            </w:r>
          </w:p>
          <w:p w14:paraId="4CEC5E9F">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2、提升机、安全锁和悬挂装置各部位连接螺栓一个构件组合松动达到3处及以上</w:t>
            </w:r>
            <w:r>
              <w:rPr>
                <w:rStyle w:val="24"/>
                <w:rFonts w:hint="eastAsia" w:ascii="宋体" w:hAnsi="宋体" w:eastAsia="宋体" w:cs="宋体"/>
                <w:sz w:val="21"/>
                <w:szCs w:val="21"/>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w:t>
            </w:r>
          </w:p>
          <w:p w14:paraId="7DB5B78C">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Style w:val="25"/>
                <w:rFonts w:hint="eastAsia" w:ascii="宋体" w:hAnsi="宋体" w:eastAsia="宋体" w:cs="宋体"/>
                <w:sz w:val="21"/>
                <w:szCs w:val="21"/>
                <w:lang w:val="en-US" w:eastAsia="zh-CN" w:bidi="ar"/>
              </w:rPr>
              <w:t>3、端档板缺失、失效，销轴有脱出现象。</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1814">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r w14:paraId="7F504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4"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856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6EC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钢丝绳</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DD83">
            <w:pPr>
              <w:keepNext w:val="0"/>
              <w:keepLines w:val="0"/>
              <w:widowControl/>
              <w:numPr>
                <w:ilvl w:val="0"/>
                <w:numId w:val="42"/>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钢丝绳达到报废标准；</w:t>
            </w:r>
          </w:p>
          <w:p w14:paraId="699C58D8">
            <w:pPr>
              <w:keepNext w:val="0"/>
              <w:keepLines w:val="0"/>
              <w:widowControl/>
              <w:numPr>
                <w:ilvl w:val="0"/>
                <w:numId w:val="42"/>
              </w:numPr>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钢丝绳长度不足；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3、绳端固定不符合要求。</w:t>
            </w:r>
          </w:p>
        </w:tc>
        <w:tc>
          <w:tcPr>
            <w:tcW w:w="8117" w:type="dxa"/>
            <w:tcBorders>
              <w:top w:val="single" w:color="000000" w:sz="4" w:space="0"/>
              <w:left w:val="single" w:color="000000" w:sz="4" w:space="0"/>
              <w:bottom w:val="single" w:color="000000" w:sz="4" w:space="0"/>
              <w:right w:val="single" w:color="000000" w:sz="4" w:space="0"/>
            </w:tcBorders>
            <w:shd w:val="clear" w:color="auto" w:fill="auto"/>
            <w:vAlign w:val="top"/>
          </w:tcPr>
          <w:p w14:paraId="0FD9EA6A">
            <w:pPr>
              <w:keepNext w:val="0"/>
              <w:keepLines w:val="0"/>
              <w:widowControl/>
              <w:numPr>
                <w:ilvl w:val="0"/>
                <w:numId w:val="43"/>
              </w:numPr>
              <w:suppressLineNumbers w:val="0"/>
              <w:spacing w:line="24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钢丝绳达到GB/T 5972-2023规定的报废标准；</w:t>
            </w:r>
          </w:p>
          <w:p w14:paraId="75663FBD">
            <w:pPr>
              <w:keepNext w:val="0"/>
              <w:keepLines w:val="0"/>
              <w:widowControl/>
              <w:numPr>
                <w:ilvl w:val="0"/>
                <w:numId w:val="43"/>
              </w:numPr>
              <w:suppressLineNumbers w:val="0"/>
              <w:spacing w:line="24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提升钢丝绳或安全钢丝绳有任何一根长度不足，在吊篮平台离地500mm及以上时，有可能脱离提升机或安全锁；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w:t>
            </w:r>
            <w:r>
              <w:rPr>
                <w:rFonts w:hint="eastAsia" w:ascii="宋体" w:hAnsi="宋体" w:eastAsia="宋体" w:cs="宋体"/>
                <w:b w:val="0"/>
                <w:i w:val="0"/>
                <w:iCs w:val="0"/>
                <w:color w:val="000000"/>
                <w:kern w:val="0"/>
                <w:sz w:val="21"/>
                <w:szCs w:val="21"/>
                <w:u w:val="none"/>
                <w:lang w:val="en-US" w:eastAsia="zh-CN" w:bidi="ar"/>
              </w:rPr>
              <w:t>钢丝绳绳端固定松动，钢丝绳受力后有滑移现象；用绳夹固定时，全部马鞍型夹座未安装在受力绳一侧，各绳夹间距小于2倍大于5倍钢丝绳直径，绳夹数3个及以下，且未设检查段。</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55D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r w14:paraId="20D15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A02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AB01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悬挂机构</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99C7">
            <w:pPr>
              <w:keepNext w:val="0"/>
              <w:keepLines w:val="0"/>
              <w:widowControl/>
              <w:numPr>
                <w:ilvl w:val="0"/>
                <w:numId w:val="44"/>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悬挂装置横梁支撑在非承重建筑结构上；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2、悬挂装置横梁上的搁置点与加强钢丝绳立杆不重合；</w:t>
            </w:r>
          </w:p>
          <w:p w14:paraId="66281464">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3、替代配重的斜拉钢丝绳固定点松动。</w:t>
            </w:r>
          </w:p>
        </w:tc>
        <w:tc>
          <w:tcPr>
            <w:tcW w:w="8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9BD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1、悬挂装置横梁支撑在非承重建筑结构上；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2、悬挂装置横梁搁置点未与加强钢丝绳立杆重合，且错位达到200mm及以上；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3、替代配重的斜拉钢丝绳未收紧，固定点明显松动。</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984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r w14:paraId="3A7F9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C8C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6E84">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配重</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E766">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配重块未固定在配重架上，且无防止可随意移除的措施。</w:t>
            </w:r>
          </w:p>
        </w:tc>
        <w:tc>
          <w:tcPr>
            <w:tcW w:w="8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9CBD">
            <w:pPr>
              <w:keepNext w:val="0"/>
              <w:keepLines w:val="0"/>
              <w:widowControl/>
              <w:numPr>
                <w:ilvl w:val="0"/>
                <w:numId w:val="45"/>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配重块未固定在配重架上且无防止可随意移除的措施；</w:t>
            </w:r>
          </w:p>
          <w:p w14:paraId="7D55A6CE">
            <w:pPr>
              <w:keepNext w:val="0"/>
              <w:keepLines w:val="0"/>
              <w:widowControl/>
              <w:numPr>
                <w:ilvl w:val="0"/>
                <w:numId w:val="45"/>
              </w:numPr>
              <w:suppressLineNumbers w:val="0"/>
              <w:spacing w:line="240" w:lineRule="auto"/>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配重重量不按专项方案设置，减少量达20%及以上。</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014E">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r w14:paraId="1152F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6BFE9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6E04F">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安全装置</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CF97">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制动器开闭不灵敏，手动释放装置失效。</w:t>
            </w:r>
          </w:p>
        </w:tc>
        <w:tc>
          <w:tcPr>
            <w:tcW w:w="8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B1C7">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制动器开闭不灵敏，存在明显卡阻或不动作现象，两电机制动释放装置全部失效。</w:t>
            </w:r>
          </w:p>
        </w:tc>
        <w:tc>
          <w:tcPr>
            <w:tcW w:w="1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6FAD95">
            <w:pPr>
              <w:keepNext w:val="0"/>
              <w:keepLines w:val="0"/>
              <w:widowControl/>
              <w:numPr>
                <w:ilvl w:val="0"/>
                <w:numId w:val="46"/>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安装（维保）单位</w:t>
            </w:r>
          </w:p>
          <w:p w14:paraId="561D129A">
            <w:pPr>
              <w:keepNext w:val="0"/>
              <w:keepLines w:val="0"/>
              <w:widowControl/>
              <w:numPr>
                <w:ilvl w:val="-1"/>
                <w:numId w:val="0"/>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2.总包（使用）单位、监理单位</w:t>
            </w:r>
            <w:r>
              <w:rPr>
                <w:rFonts w:hint="eastAsia" w:ascii="宋体" w:hAnsi="宋体" w:eastAsia="宋体" w:cs="宋体"/>
                <w:i w:val="0"/>
                <w:iCs w:val="0"/>
                <w:color w:val="000000"/>
                <w:kern w:val="0"/>
                <w:sz w:val="21"/>
                <w:szCs w:val="21"/>
                <w:u w:val="none"/>
                <w:lang w:val="en-US" w:eastAsia="zh-CN" w:bidi="ar"/>
              </w:rPr>
              <w:br w:type="textWrapping"/>
            </w:r>
          </w:p>
        </w:tc>
      </w:tr>
      <w:tr w14:paraId="7ACD3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3AED9">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101F">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531C">
            <w:pPr>
              <w:keepNext w:val="0"/>
              <w:keepLines w:val="0"/>
              <w:widowControl/>
              <w:numPr>
                <w:ilvl w:val="0"/>
                <w:numId w:val="47"/>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安全绳未固定可靠在建筑物结构上；</w:t>
            </w:r>
          </w:p>
          <w:p w14:paraId="30C29A2C">
            <w:pPr>
              <w:keepNext w:val="0"/>
              <w:keepLines w:val="0"/>
              <w:widowControl/>
              <w:numPr>
                <w:ilvl w:val="-1"/>
                <w:numId w:val="0"/>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2、安全绳未采用绵纶材质，或有松散、断股、过度磨损，或各尖角过渡处无保护措施；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3、安全绳配置数量不符要求；</w:t>
            </w:r>
          </w:p>
          <w:p w14:paraId="691C5E90">
            <w:pPr>
              <w:keepNext w:val="0"/>
              <w:keepLines w:val="0"/>
              <w:widowControl/>
              <w:numPr>
                <w:ilvl w:val="0"/>
                <w:numId w:val="0"/>
              </w:numPr>
              <w:suppressLineNumbers w:val="0"/>
              <w:spacing w:line="240" w:lineRule="auto"/>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4、安全绳长度不足。</w:t>
            </w:r>
          </w:p>
        </w:tc>
        <w:tc>
          <w:tcPr>
            <w:tcW w:w="8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AC32">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1、安全绳未可靠固定在建筑物结构上；</w:t>
            </w:r>
          </w:p>
          <w:p w14:paraId="52044337">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2、安全绳未采用绵纶材质，或有松散、断股、过度磨损，且缺陷断面失效面积估算达到原绳断面的25%；或各尖角过渡处无有效保护措施；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3、悬挂平台长度大于4m时，平台上每名操作人员未独立配备一根安全绳；</w:t>
            </w:r>
          </w:p>
          <w:p w14:paraId="5B7FB5E2">
            <w:pPr>
              <w:keepNext w:val="0"/>
              <w:keepLines w:val="0"/>
              <w:widowControl/>
              <w:suppressLineNumbers w:val="0"/>
              <w:spacing w:line="240" w:lineRule="auto"/>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4、安全绳尾端离地2.5m及以上。</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A9C55">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p>
        </w:tc>
      </w:tr>
      <w:tr w14:paraId="51AED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131C4">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2053">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88AF">
            <w:pPr>
              <w:keepNext w:val="0"/>
              <w:keepLines w:val="0"/>
              <w:widowControl/>
              <w:suppressLineNumbers w:val="0"/>
              <w:spacing w:line="240" w:lineRule="auto"/>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上行程限位功能失效。</w:t>
            </w:r>
          </w:p>
        </w:tc>
        <w:tc>
          <w:tcPr>
            <w:tcW w:w="8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A4A5">
            <w:pPr>
              <w:keepNext w:val="0"/>
              <w:keepLines w:val="0"/>
              <w:widowControl/>
              <w:suppressLineNumbers w:val="0"/>
              <w:spacing w:line="240" w:lineRule="auto"/>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上行程限位两侧均未安装或不能有效触碰；试验时，发生卡阻现象。</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4D78B">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p>
        </w:tc>
      </w:tr>
      <w:tr w14:paraId="0F695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97FE">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6F0D8">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63A6">
            <w:pPr>
              <w:keepNext w:val="0"/>
              <w:keepLines w:val="0"/>
              <w:widowControl/>
              <w:suppressLineNumbers w:val="0"/>
              <w:spacing w:line="240" w:lineRule="auto"/>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吊篮平台运行通道有障碍物。</w:t>
            </w:r>
          </w:p>
        </w:tc>
        <w:tc>
          <w:tcPr>
            <w:tcW w:w="8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DB63">
            <w:pPr>
              <w:keepNext w:val="0"/>
              <w:keepLines w:val="0"/>
              <w:widowControl/>
              <w:suppressLineNumbers w:val="0"/>
              <w:spacing w:line="240" w:lineRule="auto"/>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吊篮平台运行通道有突出物或障碍物，未采取相应保障措施。</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9624A">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p>
        </w:tc>
      </w:tr>
      <w:tr w14:paraId="5874E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1"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AD46">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04428">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安全锁</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9373">
            <w:pPr>
              <w:keepNext w:val="0"/>
              <w:keepLines w:val="0"/>
              <w:widowControl/>
              <w:numPr>
                <w:ilvl w:val="0"/>
                <w:numId w:val="48"/>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安全锁标定不在有效期内；</w:t>
            </w:r>
          </w:p>
          <w:p w14:paraId="4B16CD33">
            <w:pPr>
              <w:keepNext w:val="0"/>
              <w:keepLines w:val="0"/>
              <w:widowControl/>
              <w:numPr>
                <w:ilvl w:val="0"/>
                <w:numId w:val="48"/>
              </w:numPr>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安全钢丝绳未正确穿过安全锁；</w:t>
            </w:r>
          </w:p>
          <w:p w14:paraId="25B5719C">
            <w:pPr>
              <w:keepNext w:val="0"/>
              <w:keepLines w:val="0"/>
              <w:widowControl/>
              <w:numPr>
                <w:ilvl w:val="0"/>
                <w:numId w:val="48"/>
              </w:numPr>
              <w:suppressLineNumbers w:val="0"/>
              <w:spacing w:line="240" w:lineRule="auto"/>
              <w:ind w:left="0" w:leftChars="0" w:firstLine="0" w:firstLineChars="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安全锁被人为扎牢，无锁绳功能；</w:t>
            </w:r>
          </w:p>
          <w:p w14:paraId="7174E60C">
            <w:pPr>
              <w:keepNext w:val="0"/>
              <w:keepLines w:val="0"/>
              <w:widowControl/>
              <w:numPr>
                <w:ilvl w:val="0"/>
                <w:numId w:val="48"/>
              </w:numPr>
              <w:suppressLineNumbers w:val="0"/>
              <w:spacing w:line="240" w:lineRule="auto"/>
              <w:ind w:left="0" w:leftChars="0" w:firstLine="0" w:firstLineChars="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安全锁失效。</w:t>
            </w:r>
          </w:p>
        </w:tc>
        <w:tc>
          <w:tcPr>
            <w:tcW w:w="8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D339">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1、无标定牌或超过标定有效期；</w:t>
            </w:r>
          </w:p>
          <w:p w14:paraId="3312008A">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2、安全钢丝绳未正确穿过安全锁；</w:t>
            </w:r>
          </w:p>
          <w:p w14:paraId="158C5CE0">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3、安全锁被人为扎牢，无锁绳功能；</w:t>
            </w:r>
          </w:p>
          <w:p w14:paraId="1CBCEE01">
            <w:pPr>
              <w:keepNext w:val="0"/>
              <w:keepLines w:val="0"/>
              <w:widowControl/>
              <w:suppressLineNumbers w:val="0"/>
              <w:spacing w:line="240" w:lineRule="auto"/>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4、安全锁锁绳试验连续三次无效。</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358C">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r w14:paraId="2A903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FDF7">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E92C5">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电气系统</w:t>
            </w:r>
          </w:p>
        </w:tc>
        <w:tc>
          <w:tcPr>
            <w:tcW w:w="2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EAF8">
            <w:pPr>
              <w:keepNext w:val="0"/>
              <w:keepLines w:val="0"/>
              <w:widowControl/>
              <w:suppressLineNumbers w:val="0"/>
              <w:spacing w:line="240" w:lineRule="auto"/>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急停开关失效。</w:t>
            </w:r>
          </w:p>
        </w:tc>
        <w:tc>
          <w:tcPr>
            <w:tcW w:w="8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1446">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急停开关未安装。</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D453">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bl>
    <w:p w14:paraId="77E4AB5D">
      <w:pPr>
        <w:pStyle w:val="4"/>
        <w:rPr>
          <w:rFonts w:hint="default"/>
          <w:lang w:val="en-US" w:eastAsia="zh-CN"/>
        </w:rPr>
      </w:pPr>
    </w:p>
    <w:p w14:paraId="2FE7F85F">
      <w:pPr>
        <w:pStyle w:val="4"/>
        <w:rPr>
          <w:rFonts w:hint="default"/>
          <w:lang w:val="en-US" w:eastAsia="zh-CN"/>
        </w:rPr>
      </w:pPr>
    </w:p>
    <w:p w14:paraId="6F7187AC">
      <w:pPr>
        <w:rPr>
          <w:rFonts w:hint="eastAsia" w:ascii="宋体" w:hAnsi="宋体" w:eastAsia="宋体" w:cs="宋体"/>
          <w:b w:val="0"/>
          <w:bCs w:val="0"/>
          <w:kern w:val="2"/>
          <w:sz w:val="24"/>
          <w:szCs w:val="24"/>
          <w:shd w:val="clear"/>
          <w:lang w:val="en-US" w:eastAsia="zh-CN" w:bidi="ar-SA"/>
        </w:rPr>
      </w:pPr>
    </w:p>
    <w:p w14:paraId="16C871BD">
      <w:pPr>
        <w:rPr>
          <w:rFonts w:hint="eastAsia" w:ascii="宋体" w:hAnsi="宋体" w:eastAsia="宋体" w:cs="宋体"/>
          <w:b w:val="0"/>
          <w:bCs w:val="0"/>
          <w:kern w:val="2"/>
          <w:sz w:val="24"/>
          <w:szCs w:val="24"/>
          <w:shd w:val="clear"/>
          <w:lang w:val="en-US" w:eastAsia="zh-CN" w:bidi="ar-SA"/>
        </w:rPr>
      </w:pPr>
    </w:p>
    <w:p w14:paraId="654D4DAB">
      <w:pPr>
        <w:rPr>
          <w:rFonts w:hint="eastAsia" w:ascii="宋体" w:hAnsi="宋体" w:eastAsia="宋体" w:cs="宋体"/>
          <w:b w:val="0"/>
          <w:bCs w:val="0"/>
          <w:kern w:val="2"/>
          <w:sz w:val="24"/>
          <w:szCs w:val="24"/>
          <w:shd w:val="clear"/>
          <w:lang w:val="en-US" w:eastAsia="zh-CN" w:bidi="ar-SA"/>
        </w:rPr>
      </w:pPr>
    </w:p>
    <w:p w14:paraId="1FF75C7B">
      <w:pPr>
        <w:rPr>
          <w:rFonts w:hint="eastAsia" w:ascii="宋体" w:hAnsi="宋体" w:eastAsia="宋体" w:cs="宋体"/>
          <w:b w:val="0"/>
          <w:bCs w:val="0"/>
          <w:kern w:val="2"/>
          <w:sz w:val="24"/>
          <w:szCs w:val="24"/>
          <w:shd w:val="clear"/>
          <w:lang w:val="en-US" w:eastAsia="zh-CN" w:bidi="ar-SA"/>
        </w:rPr>
      </w:pPr>
    </w:p>
    <w:p w14:paraId="6B6D5961">
      <w:pPr>
        <w:rPr>
          <w:rFonts w:hint="eastAsia" w:ascii="宋体" w:hAnsi="宋体" w:eastAsia="宋体" w:cs="宋体"/>
          <w:b w:val="0"/>
          <w:bCs w:val="0"/>
          <w:kern w:val="2"/>
          <w:sz w:val="24"/>
          <w:szCs w:val="24"/>
          <w:shd w:val="clear"/>
          <w:lang w:val="en-US" w:eastAsia="zh-CN" w:bidi="ar-SA"/>
        </w:rPr>
      </w:pPr>
    </w:p>
    <w:p w14:paraId="0D6F3D5A">
      <w:pPr>
        <w:jc w:val="center"/>
        <w:rPr>
          <w:rFonts w:hint="default"/>
          <w:lang w:val="en-US" w:eastAsia="zh-CN"/>
        </w:rPr>
      </w:pPr>
      <w:r>
        <w:rPr>
          <w:rFonts w:hint="eastAsia" w:ascii="宋体" w:hAnsi="宋体" w:eastAsia="宋体" w:cs="宋体"/>
          <w:b w:val="0"/>
          <w:bCs w:val="0"/>
          <w:kern w:val="2"/>
          <w:sz w:val="24"/>
          <w:szCs w:val="24"/>
          <w:shd w:val="clear"/>
          <w:lang w:val="en-US" w:eastAsia="zh-CN" w:bidi="ar-SA"/>
        </w:rPr>
        <w:t>表6  桥（门）式起重机红</w:t>
      </w:r>
      <w:r>
        <w:rPr>
          <w:rFonts w:hint="eastAsia" w:ascii="宋体" w:hAnsi="宋体" w:eastAsia="宋体" w:cs="宋体"/>
          <w:b w:val="0"/>
          <w:bCs w:val="0"/>
          <w:color w:val="auto"/>
          <w:kern w:val="2"/>
          <w:sz w:val="24"/>
          <w:szCs w:val="24"/>
          <w:shd w:val="clear"/>
          <w:lang w:val="en-US" w:eastAsia="zh-CN" w:bidi="ar-SA"/>
        </w:rPr>
        <w:t>线隐患负面</w:t>
      </w:r>
      <w:r>
        <w:rPr>
          <w:rFonts w:hint="eastAsia" w:ascii="宋体" w:hAnsi="宋体" w:eastAsia="宋体" w:cs="宋体"/>
          <w:color w:val="auto"/>
          <w:sz w:val="24"/>
          <w:szCs w:val="24"/>
          <w:lang w:val="en-US" w:eastAsia="zh-CN"/>
        </w:rPr>
        <w:t>清单</w:t>
      </w:r>
    </w:p>
    <w:tbl>
      <w:tblPr>
        <w:tblStyle w:val="16"/>
        <w:tblW w:w="141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5"/>
        <w:gridCol w:w="718"/>
        <w:gridCol w:w="2933"/>
        <w:gridCol w:w="8150"/>
        <w:gridCol w:w="1867"/>
      </w:tblGrid>
      <w:tr w14:paraId="6A70D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blHeader/>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F9D4">
            <w:pPr>
              <w:keepNext w:val="0"/>
              <w:keepLines w:val="0"/>
              <w:widowControl/>
              <w:suppressLineNumbers w:val="0"/>
              <w:spacing w:line="240" w:lineRule="auto"/>
              <w:ind w:firstLine="0" w:firstLineChars="0"/>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序号</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D945">
            <w:pPr>
              <w:keepNext w:val="0"/>
              <w:keepLines w:val="0"/>
              <w:widowControl/>
              <w:suppressLineNumbers w:val="0"/>
              <w:spacing w:line="240" w:lineRule="auto"/>
              <w:ind w:firstLine="0" w:firstLineChars="0"/>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部件名称</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8683">
            <w:pPr>
              <w:keepNext w:val="0"/>
              <w:keepLines w:val="0"/>
              <w:widowControl/>
              <w:suppressLineNumbers w:val="0"/>
              <w:spacing w:line="240" w:lineRule="auto"/>
              <w:ind w:firstLine="0" w:firstLineChars="0"/>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红线隐患</w:t>
            </w:r>
          </w:p>
        </w:tc>
        <w:tc>
          <w:tcPr>
            <w:tcW w:w="8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8321">
            <w:pPr>
              <w:keepNext w:val="0"/>
              <w:keepLines w:val="0"/>
              <w:widowControl/>
              <w:suppressLineNumbers w:val="0"/>
              <w:spacing w:line="240" w:lineRule="auto"/>
              <w:ind w:firstLine="0" w:firstLineChars="0"/>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细化描述</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6947">
            <w:pPr>
              <w:keepNext w:val="0"/>
              <w:keepLines w:val="0"/>
              <w:widowControl/>
              <w:suppressLineNumbers w:val="0"/>
              <w:spacing w:line="240" w:lineRule="auto"/>
              <w:ind w:firstLine="0" w:firstLineChars="0"/>
              <w:jc w:val="center"/>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责任单位</w:t>
            </w:r>
          </w:p>
        </w:tc>
      </w:tr>
      <w:tr w14:paraId="23FB7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DC0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0B9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资料</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20E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1、无检验检测报告、使用登记证、安装方案或相关专项论证报告、设备月检记录；</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2、设备实际状况与资料不符。</w:t>
            </w:r>
          </w:p>
        </w:tc>
        <w:tc>
          <w:tcPr>
            <w:tcW w:w="8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35A8">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1、无有效安装检验报告；</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2、按规定时间超过1个月未办理使用登记；</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3、未提供安装方案；超危大工程无专项论证报告；</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4、无检查前三个月月度检查记录；</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5、设备实际状况与资料不符；</w:t>
            </w:r>
          </w:p>
          <w:p w14:paraId="6AA76DA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u w:val="none"/>
                <w:lang w:val="en-US" w:eastAsia="zh-CN" w:bidi="ar"/>
              </w:rPr>
              <w:t>6、改造设备未提供改造合格证等相关内容。</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46F8">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1.总包（使用）单位、监理单位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2.安装（维保）单位</w:t>
            </w:r>
          </w:p>
        </w:tc>
      </w:tr>
      <w:tr w14:paraId="254D3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693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986F">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主要受力结构件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6D65">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1、受力结构连接焊缝有明显可见的裂纹；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2、受力结构严重锈蚀减，受载断面有效厚度低于设计厚度的 90%；</w:t>
            </w:r>
          </w:p>
          <w:p w14:paraId="4A5F9DC5">
            <w:pPr>
              <w:keepNext w:val="0"/>
              <w:keepLines w:val="0"/>
              <w:widowControl/>
              <w:numPr>
                <w:ilvl w:val="0"/>
                <w:numId w:val="0"/>
              </w:numPr>
              <w:suppressLineNumbers w:val="0"/>
              <w:spacing w:line="240" w:lineRule="auto"/>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3、连接螺栓未紧固或少装。</w:t>
            </w:r>
          </w:p>
        </w:tc>
        <w:tc>
          <w:tcPr>
            <w:tcW w:w="8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D534">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1、主梁、支腿等主要受力结构连接焊缝存在明显可见的裂纹；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2、主梁、支腿断面有效厚度低于设计厚度的90%，取各构件两端及中部各4点，合计12点，取平均值；</w:t>
            </w:r>
          </w:p>
          <w:p w14:paraId="5FE1BED5">
            <w:pPr>
              <w:keepNext w:val="0"/>
              <w:keepLines w:val="0"/>
              <w:widowControl/>
              <w:suppressLineNumbers w:val="0"/>
              <w:spacing w:line="240" w:lineRule="auto"/>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3、主梁拼接、主梁与支腿、支腿与行走梁、主梁与端梁等连接螺栓缺失或明显未紧固数量每处达到4颗及以上。</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CF2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r w14:paraId="06929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0"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5C9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724F">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主要零部件</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A2AA">
            <w:pPr>
              <w:keepNext w:val="0"/>
              <w:keepLines w:val="0"/>
              <w:widowControl/>
              <w:numPr>
                <w:ilvl w:val="-1"/>
                <w:numId w:val="0"/>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1、钢丝绳用压板固定时，压板数量小于2个，并且未配置防松或者自紧的功能；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2、钢丝绳用绳夹固定时，安装方式不符合要求；</w:t>
            </w:r>
          </w:p>
          <w:p w14:paraId="283511DF">
            <w:pPr>
              <w:keepNext w:val="0"/>
              <w:keepLines w:val="0"/>
              <w:widowControl/>
              <w:numPr>
                <w:ilvl w:val="-1"/>
                <w:numId w:val="0"/>
              </w:numPr>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3、吊具处于工作位置最低点时，钢丝绳在卷筒上的缠绕(除固定绳尾的圈数外)小于 2 圈（电动葫芦小于3圈）；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4、吊钩等吊具悬挂牢固不可靠；吊钩存在焊补，严重变形；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5、制动器的设置不符合规定或制动器零部件有缺陷；制动器零件有裂纹、过度磨损、塑性变形、缺件等缺陷；</w:t>
            </w:r>
          </w:p>
          <w:p w14:paraId="7F8EF00B">
            <w:pPr>
              <w:keepNext w:val="0"/>
              <w:keepLines w:val="0"/>
              <w:widowControl/>
              <w:numPr>
                <w:ilvl w:val="-1"/>
                <w:numId w:val="0"/>
              </w:numPr>
              <w:suppressLineNumbers w:val="0"/>
              <w:spacing w:line="240" w:lineRule="auto"/>
              <w:ind w:left="0" w:leftChars="0" w:firstLine="0" w:firstLineChars="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6、钢丝绳达到报废标准。</w:t>
            </w:r>
          </w:p>
        </w:tc>
        <w:tc>
          <w:tcPr>
            <w:tcW w:w="8150" w:type="dxa"/>
            <w:tcBorders>
              <w:top w:val="single" w:color="000000" w:sz="4" w:space="0"/>
              <w:left w:val="single" w:color="000000" w:sz="4" w:space="0"/>
              <w:bottom w:val="single" w:color="000000" w:sz="4" w:space="0"/>
              <w:right w:val="single" w:color="000000" w:sz="4" w:space="0"/>
            </w:tcBorders>
            <w:shd w:val="clear" w:color="auto" w:fill="auto"/>
            <w:vAlign w:val="top"/>
          </w:tcPr>
          <w:p w14:paraId="4A805AE3">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1、钢丝绳用压板固定时，压板数量小于2个，并且未配置防松或者自紧的功能；</w:t>
            </w:r>
          </w:p>
          <w:p w14:paraId="0EA16599">
            <w:pPr>
              <w:keepNext w:val="0"/>
              <w:keepLines w:val="0"/>
              <w:widowControl/>
              <w:numPr>
                <w:ilvl w:val="-1"/>
                <w:numId w:val="0"/>
              </w:numPr>
              <w:suppressLineNumbers w:val="0"/>
              <w:spacing w:line="240" w:lineRule="auto"/>
              <w:jc w:val="left"/>
              <w:textAlignment w:val="top"/>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2、钢丝绳</w:t>
            </w:r>
            <w:r>
              <w:rPr>
                <w:rFonts w:hint="eastAsia" w:ascii="宋体" w:hAnsi="宋体" w:eastAsia="宋体" w:cs="宋体"/>
                <w:b w:val="0"/>
                <w:i w:val="0"/>
                <w:iCs w:val="0"/>
                <w:color w:val="000000"/>
                <w:kern w:val="0"/>
                <w:sz w:val="21"/>
                <w:szCs w:val="21"/>
                <w:u w:val="none"/>
                <w:lang w:val="en-US" w:eastAsia="zh-CN" w:bidi="ar"/>
              </w:rPr>
              <w:t>用绳夹固定时，全部马鞍型夹座未安装在受力绳一侧，各绳夹间距小于2倍大于5倍钢丝绳直径，绳夹数：直径≤18mm时少于2个；直径＞18～26mm时少于3个；直径＞26～36mm时少于4个；直径＞36～44mm时少于5个；</w:t>
            </w:r>
          </w:p>
          <w:p w14:paraId="177D44EC">
            <w:pPr>
              <w:keepNext w:val="0"/>
              <w:keepLines w:val="0"/>
              <w:widowControl/>
              <w:suppressLineNumbers w:val="0"/>
              <w:spacing w:line="24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3、吊具处于工作位置最低点时，钢丝绳在卷筒上的缠绕(除固定绳尾的圈数外)小于3圈；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4、吊钩存在焊接或可见裂纹；</w:t>
            </w:r>
            <w:r>
              <w:rPr>
                <w:rFonts w:hint="eastAsia" w:ascii="宋体" w:hAnsi="宋体" w:eastAsia="宋体" w:cs="宋体"/>
                <w:b w:val="0"/>
                <w:i w:val="0"/>
                <w:iCs w:val="0"/>
                <w:color w:val="000000"/>
                <w:kern w:val="0"/>
                <w:sz w:val="21"/>
                <w:szCs w:val="21"/>
                <w:u w:val="none"/>
                <w:lang w:val="en-US" w:eastAsia="zh-CN" w:bidi="ar"/>
              </w:rPr>
              <w:t>吊钩开口度比原尺寸增加10%；吊钩危险截面磨损量超过原高度10%；吊钩未设置吊索防脱装置；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5、制动器零件有裂纹、过度磨损，且摩擦片磨损达原厚度的60%或已摩擦到露出铆钉表面；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6、吊载试验时，制动时有明显的溜钩现象；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w:t>
            </w:r>
            <w:r>
              <w:rPr>
                <w:rFonts w:hint="eastAsia" w:ascii="宋体" w:hAnsi="宋体" w:eastAsia="宋体" w:cs="宋体"/>
                <w:b w:val="0"/>
                <w:i w:val="0"/>
                <w:iCs w:val="0"/>
                <w:color w:val="000000"/>
                <w:kern w:val="0"/>
                <w:sz w:val="21"/>
                <w:szCs w:val="21"/>
                <w:u w:val="none"/>
                <w:lang w:val="en-US" w:eastAsia="zh-CN" w:bidi="ar"/>
              </w:rPr>
              <w:t>钢丝绳达到 GB/T 5972-2023规定的报废标准。</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8AF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r w14:paraId="332B2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4"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5D5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826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电气系统</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C0A1">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急停开关失效。</w:t>
            </w:r>
          </w:p>
        </w:tc>
        <w:tc>
          <w:tcPr>
            <w:tcW w:w="8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25E0">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急停开关未安装。</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B112">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r w14:paraId="1A7C9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6" w:hRule="atLeast"/>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A33A">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3767">
            <w:pPr>
              <w:keepNext w:val="0"/>
              <w:keepLines w:val="0"/>
              <w:widowControl/>
              <w:suppressLineNumbers w:val="0"/>
              <w:spacing w:line="240" w:lineRule="auto"/>
              <w:ind w:firstLine="0" w:firstLineChars="0"/>
              <w:jc w:val="left"/>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安全保护装置</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F122">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安全装置不齐全，功能失效。</w:t>
            </w:r>
          </w:p>
        </w:tc>
        <w:tc>
          <w:tcPr>
            <w:tcW w:w="8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5BAF">
            <w:pPr>
              <w:keepNext w:val="0"/>
              <w:keepLines w:val="0"/>
              <w:widowControl/>
              <w:numPr>
                <w:ilvl w:val="-1"/>
                <w:numId w:val="0"/>
              </w:numPr>
              <w:suppressLineNumbers w:val="0"/>
              <w:spacing w:line="240" w:lineRule="auto"/>
              <w:ind w:firstLine="0" w:firstLineChars="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1、起重量限制器未安装；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2、起升高度限制器未安装；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3、抗风防滑装置（室外轨道式）未安装；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4、运行行程限位器未安装；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5、轨道端部止档未安装；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6、同轨运行两门机防碰撞装置未安装；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7、吊具装在主梁一侧的单主梁起重小车防倾翻安全钩未安装。</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6EA7">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bl>
    <w:p w14:paraId="4244A670">
      <w:pPr>
        <w:pStyle w:val="4"/>
        <w:rPr>
          <w:rFonts w:hint="default"/>
          <w:lang w:val="en-US" w:eastAsia="zh-CN"/>
        </w:rPr>
      </w:pPr>
    </w:p>
    <w:p w14:paraId="44346B88">
      <w:pPr>
        <w:rPr>
          <w:rFonts w:hint="default"/>
          <w:lang w:val="en-US" w:eastAsia="zh-CN"/>
        </w:rPr>
      </w:pPr>
      <w:r>
        <w:rPr>
          <w:rFonts w:hint="default"/>
          <w:lang w:val="en-US" w:eastAsia="zh-CN"/>
        </w:rPr>
        <w:br w:type="page"/>
      </w:r>
    </w:p>
    <w:p w14:paraId="1378AA0B">
      <w:pPr>
        <w:pStyle w:val="5"/>
        <w:numPr>
          <w:ilvl w:val="0"/>
          <w:numId w:val="0"/>
        </w:numPr>
        <w:bidi w:val="0"/>
        <w:ind w:leftChars="200"/>
        <w:jc w:val="center"/>
        <w:rPr>
          <w:rFonts w:hint="default"/>
          <w:lang w:val="en-US" w:eastAsia="zh-CN"/>
        </w:rPr>
      </w:pPr>
      <w:r>
        <w:rPr>
          <w:rFonts w:hint="eastAsia" w:cs="宋体"/>
          <w:b w:val="0"/>
          <w:bCs w:val="0"/>
          <w:kern w:val="2"/>
          <w:sz w:val="24"/>
          <w:szCs w:val="24"/>
          <w:shd w:val="clear"/>
          <w:lang w:val="en-US" w:eastAsia="zh-CN" w:bidi="ar-SA"/>
        </w:rPr>
        <w:t>表7</w:t>
      </w:r>
      <w:r>
        <w:rPr>
          <w:rFonts w:hint="eastAsia" w:ascii="宋体" w:hAnsi="宋体" w:eastAsia="宋体" w:cs="宋体"/>
          <w:b w:val="0"/>
          <w:bCs w:val="0"/>
          <w:kern w:val="2"/>
          <w:sz w:val="24"/>
          <w:szCs w:val="24"/>
          <w:shd w:val="clear"/>
          <w:lang w:val="en-US" w:eastAsia="zh-CN" w:bidi="ar-SA"/>
        </w:rPr>
        <w:t xml:space="preserve">  </w:t>
      </w:r>
      <w:r>
        <w:rPr>
          <w:rFonts w:hint="eastAsia" w:cs="宋体"/>
          <w:b w:val="0"/>
          <w:bCs w:val="0"/>
          <w:color w:val="auto"/>
          <w:kern w:val="2"/>
          <w:sz w:val="24"/>
          <w:szCs w:val="24"/>
          <w:highlight w:val="none"/>
          <w:shd w:val="clear"/>
          <w:lang w:val="en-US" w:eastAsia="zh-CN" w:bidi="ar-SA"/>
        </w:rPr>
        <w:t>流动式</w:t>
      </w:r>
      <w:r>
        <w:rPr>
          <w:rFonts w:hint="eastAsia" w:ascii="宋体" w:hAnsi="宋体" w:eastAsia="宋体" w:cs="宋体"/>
          <w:b w:val="0"/>
          <w:bCs w:val="0"/>
          <w:color w:val="auto"/>
          <w:kern w:val="2"/>
          <w:sz w:val="24"/>
          <w:szCs w:val="24"/>
          <w:highlight w:val="none"/>
          <w:shd w:val="clear"/>
          <w:lang w:val="en-US" w:eastAsia="zh-CN" w:bidi="ar-SA"/>
        </w:rPr>
        <w:t>起重机</w:t>
      </w:r>
      <w:r>
        <w:rPr>
          <w:rFonts w:hint="eastAsia" w:ascii="宋体" w:hAnsi="宋体" w:cs="宋体"/>
          <w:b w:val="0"/>
          <w:bCs w:val="0"/>
          <w:color w:val="auto"/>
          <w:kern w:val="2"/>
          <w:sz w:val="24"/>
          <w:szCs w:val="24"/>
          <w:highlight w:val="none"/>
          <w:shd w:val="clear"/>
          <w:lang w:val="en-US" w:eastAsia="zh-CN" w:bidi="ar-SA"/>
        </w:rPr>
        <w:t>红线</w:t>
      </w:r>
      <w:r>
        <w:rPr>
          <w:rFonts w:hint="eastAsia" w:cs="宋体"/>
          <w:b w:val="0"/>
          <w:bCs w:val="0"/>
          <w:color w:val="auto"/>
          <w:kern w:val="2"/>
          <w:sz w:val="24"/>
          <w:szCs w:val="24"/>
          <w:highlight w:val="none"/>
          <w:shd w:val="clear"/>
          <w:lang w:val="en-US" w:eastAsia="zh-CN" w:bidi="ar-SA"/>
        </w:rPr>
        <w:t>隐患负面</w:t>
      </w:r>
      <w:r>
        <w:rPr>
          <w:rFonts w:hint="eastAsia" w:ascii="宋体" w:hAnsi="宋体" w:eastAsia="宋体" w:cs="宋体"/>
          <w:color w:val="auto"/>
          <w:sz w:val="24"/>
          <w:szCs w:val="24"/>
          <w:highlight w:val="none"/>
          <w:lang w:val="en-US" w:eastAsia="zh-CN"/>
        </w:rPr>
        <w:t>清单</w:t>
      </w:r>
    </w:p>
    <w:tbl>
      <w:tblPr>
        <w:tblStyle w:val="16"/>
        <w:tblW w:w="141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4"/>
        <w:gridCol w:w="688"/>
        <w:gridCol w:w="2950"/>
        <w:gridCol w:w="8134"/>
        <w:gridCol w:w="1900"/>
      </w:tblGrid>
      <w:tr w14:paraId="35B35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blHead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A361">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i w:val="0"/>
                <w:iCs w:val="0"/>
                <w:color w:val="000000"/>
                <w:kern w:val="0"/>
                <w:sz w:val="21"/>
                <w:szCs w:val="21"/>
                <w:u w:val="none"/>
                <w:lang w:val="en-US" w:eastAsia="zh-CN" w:bidi="ar"/>
              </w:rPr>
              <w:t>序号</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7830">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i w:val="0"/>
                <w:iCs w:val="0"/>
                <w:color w:val="000000"/>
                <w:kern w:val="0"/>
                <w:sz w:val="21"/>
                <w:szCs w:val="21"/>
                <w:u w:val="none"/>
                <w:lang w:val="en-US" w:eastAsia="zh-CN" w:bidi="ar"/>
              </w:rPr>
              <w:t>部件名称</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3626">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i w:val="0"/>
                <w:iCs w:val="0"/>
                <w:color w:val="000000"/>
                <w:kern w:val="0"/>
                <w:sz w:val="21"/>
                <w:szCs w:val="21"/>
                <w:u w:val="none"/>
                <w:lang w:val="en-US" w:eastAsia="zh-CN" w:bidi="ar"/>
              </w:rPr>
              <w:t>红线隐患</w:t>
            </w:r>
          </w:p>
        </w:tc>
        <w:tc>
          <w:tcPr>
            <w:tcW w:w="8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CAA2">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i w:val="0"/>
                <w:iCs w:val="0"/>
                <w:color w:val="000000"/>
                <w:kern w:val="0"/>
                <w:sz w:val="21"/>
                <w:szCs w:val="21"/>
                <w:u w:val="none"/>
                <w:lang w:val="en-US" w:eastAsia="zh-CN" w:bidi="ar"/>
              </w:rPr>
              <w:t>细化描述</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9F31">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i w:val="0"/>
                <w:iCs w:val="0"/>
                <w:color w:val="000000"/>
                <w:kern w:val="0"/>
                <w:sz w:val="21"/>
                <w:szCs w:val="21"/>
                <w:u w:val="none"/>
                <w:lang w:val="en-US" w:eastAsia="zh-CN" w:bidi="ar"/>
              </w:rPr>
              <w:t>责任单位</w:t>
            </w:r>
          </w:p>
        </w:tc>
      </w:tr>
      <w:tr w14:paraId="01446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351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B20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资料</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E0B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1、无检验检测报告；</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2、设备实际状况与资料不符。</w:t>
            </w:r>
          </w:p>
        </w:tc>
        <w:tc>
          <w:tcPr>
            <w:tcW w:w="8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C669">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b w:val="0"/>
                <w:i w:val="0"/>
                <w:iCs w:val="0"/>
                <w:color w:val="000000"/>
                <w:kern w:val="0"/>
                <w:sz w:val="21"/>
                <w:szCs w:val="21"/>
                <w:u w:val="none"/>
                <w:lang w:val="en-US" w:eastAsia="zh-CN" w:bidi="ar"/>
              </w:rPr>
              <w:t>1、无有效检验报告；</w:t>
            </w:r>
            <w:r>
              <w:rPr>
                <w:rFonts w:hint="eastAsia" w:ascii="宋体" w:hAnsi="宋体" w:eastAsia="宋体" w:cs="宋体"/>
                <w:b w:val="0"/>
                <w:i w:val="0"/>
                <w:iCs w:val="0"/>
                <w:color w:val="000000"/>
                <w:kern w:val="0"/>
                <w:sz w:val="21"/>
                <w:szCs w:val="21"/>
                <w:u w:val="none"/>
                <w:lang w:val="en-US" w:eastAsia="zh-CN" w:bidi="ar"/>
              </w:rPr>
              <w:br w:type="textWrapping"/>
            </w:r>
            <w:r>
              <w:rPr>
                <w:rFonts w:hint="eastAsia" w:ascii="宋体" w:hAnsi="宋体" w:eastAsia="宋体" w:cs="宋体"/>
                <w:b w:val="0"/>
                <w:i w:val="0"/>
                <w:iCs w:val="0"/>
                <w:color w:val="000000"/>
                <w:kern w:val="0"/>
                <w:sz w:val="21"/>
                <w:szCs w:val="21"/>
                <w:u w:val="none"/>
                <w:lang w:val="en-US" w:eastAsia="zh-CN" w:bidi="ar"/>
              </w:rPr>
              <w:t>2、设备实际状况与资料不符。</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BBBB">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1.总包（使用）单位、监理单位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2.安装（维保）单位</w:t>
            </w:r>
          </w:p>
        </w:tc>
      </w:tr>
      <w:tr w14:paraId="68DA6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17C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53A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80AB">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1、受力结构连接焊缝有明显可见的裂纹；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2、受力结构严重锈蚀减，受载断面有效厚度低于设计厚度的 90%；</w:t>
            </w:r>
          </w:p>
          <w:p w14:paraId="67F2B844">
            <w:pPr>
              <w:keepNext w:val="0"/>
              <w:keepLines w:val="0"/>
              <w:widowControl/>
              <w:numPr>
                <w:ilvl w:val="0"/>
                <w:numId w:val="0"/>
              </w:numPr>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3、连接螺栓、销轴等未紧固或少装。</w:t>
            </w:r>
          </w:p>
        </w:tc>
        <w:tc>
          <w:tcPr>
            <w:tcW w:w="8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4345">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1、起重臂、变幅油缸、起落架的主弦杆或受力支座等主要受力结构连接焊缝存在明显可见的裂纹；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2、起重臂主弦杆、起重臂箱形截面等有效厚度低于设计厚度的90%，取各构件两端及中部各4点，合计12点，取平均值；</w:t>
            </w:r>
          </w:p>
          <w:p w14:paraId="016FA8B2">
            <w:pPr>
              <w:keepNext w:val="0"/>
              <w:keepLines w:val="0"/>
              <w:widowControl/>
              <w:suppressLineNumbers w:val="0"/>
              <w:spacing w:line="240" w:lineRule="auto"/>
              <w:ind w:firstLine="0" w:firstLineChars="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3、起重臂拼接、起重臂与底盘、变幅油缸铰点、各滑轮架、起落架铰点等连接螺栓或少装或明显未紧固每台合计2处及以上；销轴连接少装或未锁定1处及以上。</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BE03">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r w14:paraId="60FA5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6"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EFF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72F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主要零部件</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251E">
            <w:pPr>
              <w:keepNext w:val="0"/>
              <w:keepLines w:val="0"/>
              <w:widowControl/>
              <w:numPr>
                <w:ilvl w:val="-1"/>
                <w:numId w:val="0"/>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1、钢丝绳用压板固定时，压板数量小于 2 个，并且未配置防松或者自紧的功能；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2、钢丝绳用绳夹固定时，安装方式不符合要求；</w:t>
            </w:r>
          </w:p>
          <w:p w14:paraId="090CE449">
            <w:pPr>
              <w:keepNext w:val="0"/>
              <w:keepLines w:val="0"/>
              <w:widowControl/>
              <w:numPr>
                <w:ilvl w:val="-1"/>
                <w:numId w:val="0"/>
              </w:numPr>
              <w:suppressLineNumbers w:val="0"/>
              <w:spacing w:line="240" w:lineRule="auto"/>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3、吊具处于工作位置最低点时，钢丝绳在卷筒上的缠绕(除固定绳尾的圈数外)小于 2 圈（电动葫芦小于3圈）；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4、吊钩等吊具悬挂牢固不可靠；吊钩存在焊补，严重变形；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5、制动器的设置不符合规定或制动器零部件有缺陷；制动器零件有裂纹、过度磨损、塑性变形、缺件等缺陷；</w:t>
            </w:r>
          </w:p>
          <w:p w14:paraId="468CFB75">
            <w:pPr>
              <w:keepNext w:val="0"/>
              <w:keepLines w:val="0"/>
              <w:widowControl/>
              <w:numPr>
                <w:ilvl w:val="-1"/>
                <w:numId w:val="0"/>
              </w:numPr>
              <w:suppressLineNumbers w:val="0"/>
              <w:spacing w:line="240" w:lineRule="auto"/>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6、钢丝绳达到报废标准。</w:t>
            </w:r>
          </w:p>
        </w:tc>
        <w:tc>
          <w:tcPr>
            <w:tcW w:w="8134" w:type="dxa"/>
            <w:tcBorders>
              <w:top w:val="single" w:color="000000" w:sz="4" w:space="0"/>
              <w:left w:val="single" w:color="000000" w:sz="4" w:space="0"/>
              <w:bottom w:val="single" w:color="000000" w:sz="4" w:space="0"/>
              <w:right w:val="single" w:color="000000" w:sz="4" w:space="0"/>
            </w:tcBorders>
            <w:shd w:val="clear" w:color="auto" w:fill="auto"/>
            <w:vAlign w:val="top"/>
          </w:tcPr>
          <w:p w14:paraId="486E5A08">
            <w:pPr>
              <w:keepNext w:val="0"/>
              <w:keepLines w:val="0"/>
              <w:widowControl/>
              <w:suppressLineNumbers w:val="0"/>
              <w:spacing w:line="24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1、钢丝绳用压板固定时，压板数量小于2个，并且未配置防松或者自紧的功能；</w:t>
            </w:r>
          </w:p>
          <w:p w14:paraId="12C7C1E9">
            <w:pPr>
              <w:keepNext w:val="0"/>
              <w:keepLines w:val="0"/>
              <w:widowControl/>
              <w:numPr>
                <w:ilvl w:val="0"/>
                <w:numId w:val="0"/>
              </w:numPr>
              <w:suppressLineNumbers w:val="0"/>
              <w:spacing w:line="240" w:lineRule="auto"/>
              <w:jc w:val="left"/>
              <w:textAlignment w:val="center"/>
              <w:rPr>
                <w:rFonts w:hint="default" w:ascii="宋体" w:hAnsi="宋体" w:eastAsia="宋体" w:cs="宋体"/>
                <w:b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2、钢丝绳</w:t>
            </w:r>
            <w:r>
              <w:rPr>
                <w:rFonts w:hint="eastAsia" w:ascii="宋体" w:hAnsi="宋体" w:eastAsia="宋体" w:cs="宋体"/>
                <w:b w:val="0"/>
                <w:i w:val="0"/>
                <w:iCs w:val="0"/>
                <w:color w:val="000000"/>
                <w:kern w:val="0"/>
                <w:sz w:val="21"/>
                <w:szCs w:val="21"/>
                <w:u w:val="none"/>
                <w:lang w:val="en-US" w:eastAsia="zh-CN" w:bidi="ar"/>
              </w:rPr>
              <w:t>用绳夹固定时，全部马鞍型夹座未安装在受力绳一侧，各绳夹间距小于2倍大于5倍钢丝绳直径，绳夹数：直径≤18mm时少于2个；直径＞18～26mm时少于3个；直径＞26～36mm时少于4个；直径＞36～44mm时少于5个；</w:t>
            </w:r>
          </w:p>
          <w:p w14:paraId="75676638">
            <w:pPr>
              <w:keepNext w:val="0"/>
              <w:keepLines w:val="0"/>
              <w:widowControl/>
              <w:suppressLineNumbers w:val="0"/>
              <w:spacing w:line="24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3、吊具处于工作位置最低点时，钢丝绳在卷筒上的缠绕(除固定绳尾的圈数外)小于3圈；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4、吊钩存在焊接或可见裂纹；</w:t>
            </w:r>
            <w:r>
              <w:rPr>
                <w:rFonts w:hint="eastAsia" w:ascii="宋体" w:hAnsi="宋体" w:eastAsia="宋体" w:cs="宋体"/>
                <w:b w:val="0"/>
                <w:i w:val="0"/>
                <w:iCs w:val="0"/>
                <w:color w:val="000000"/>
                <w:kern w:val="0"/>
                <w:sz w:val="21"/>
                <w:szCs w:val="21"/>
                <w:u w:val="none"/>
                <w:lang w:val="en-US" w:eastAsia="zh-CN" w:bidi="ar"/>
              </w:rPr>
              <w:t>吊钩开口度比原尺寸增加10%；吊钩危险截面磨损量超过原高度10%；吊钩未设置吊索防脱装置；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5、制动器零件有裂纹、过度磨损，且摩擦片磨损达原厚度的60%或已摩擦到露出铆钉表面；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6、吊载试验时，制动时有明显的溜钩现象；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w:t>
            </w:r>
            <w:r>
              <w:rPr>
                <w:rFonts w:hint="eastAsia" w:ascii="宋体" w:hAnsi="宋体" w:eastAsia="宋体" w:cs="宋体"/>
                <w:b w:val="0"/>
                <w:i w:val="0"/>
                <w:iCs w:val="0"/>
                <w:color w:val="000000"/>
                <w:kern w:val="0"/>
                <w:sz w:val="21"/>
                <w:szCs w:val="21"/>
                <w:u w:val="none"/>
                <w:lang w:val="en-US" w:eastAsia="zh-CN" w:bidi="ar"/>
              </w:rPr>
              <w:t>钢丝绳达到 GB/T 5972-2023规定的报废标准。</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FE3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r w14:paraId="6871F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8"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F41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4ED1">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安全保护装置</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83CC">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安全装置不齐全、功能失效。</w:t>
            </w:r>
          </w:p>
        </w:tc>
        <w:tc>
          <w:tcPr>
            <w:tcW w:w="8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9AF4">
            <w:pPr>
              <w:keepNext w:val="0"/>
              <w:keepLines w:val="0"/>
              <w:widowControl/>
              <w:numPr>
                <w:ilvl w:val="0"/>
                <w:numId w:val="49"/>
              </w:numPr>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起升高度限位器未安装；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2、力矩限制器、起重量限制器失效或未正确设定；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3、幅度限位装置（适用于履吊）未安装；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4、防臂架后倾限位装置（适用于履吊）未安装。</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92F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r w14:paraId="145C3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DA3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0F10">
            <w:pPr>
              <w:keepNext w:val="0"/>
              <w:keepLines w:val="0"/>
              <w:widowControl/>
              <w:suppressLineNumbers w:val="0"/>
              <w:spacing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液压系统</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8FD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油缸存在明显漏油等现象。</w:t>
            </w:r>
          </w:p>
        </w:tc>
        <w:tc>
          <w:tcPr>
            <w:tcW w:w="8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F62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油缸存在明显漏油。</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B3B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bl>
    <w:p w14:paraId="00BEF8D3">
      <w:pPr>
        <w:spacing w:line="240" w:lineRule="auto"/>
        <w:rPr>
          <w:rFonts w:hint="eastAsia" w:ascii="宋体" w:hAnsi="宋体" w:eastAsia="宋体" w:cs="宋体"/>
          <w:sz w:val="21"/>
          <w:szCs w:val="21"/>
          <w:lang w:val="en-US" w:eastAsia="zh-CN"/>
        </w:rPr>
      </w:pPr>
    </w:p>
    <w:p w14:paraId="7F8BA702">
      <w:pPr>
        <w:pStyle w:val="5"/>
        <w:numPr>
          <w:ilvl w:val="0"/>
          <w:numId w:val="0"/>
        </w:numPr>
        <w:bidi w:val="0"/>
        <w:jc w:val="center"/>
        <w:rPr>
          <w:rFonts w:hint="eastAsia" w:ascii="宋体" w:hAnsi="宋体" w:eastAsia="宋体" w:cs="宋体"/>
          <w:b w:val="0"/>
          <w:bCs w:val="0"/>
          <w:kern w:val="2"/>
          <w:sz w:val="24"/>
          <w:szCs w:val="24"/>
          <w:shd w:val="clear"/>
          <w:lang w:val="en-US" w:eastAsia="zh-CN" w:bidi="ar-SA"/>
        </w:rPr>
      </w:pPr>
    </w:p>
    <w:p w14:paraId="78A88DDC">
      <w:pPr>
        <w:pStyle w:val="5"/>
        <w:numPr>
          <w:ilvl w:val="0"/>
          <w:numId w:val="0"/>
        </w:numPr>
        <w:bidi w:val="0"/>
        <w:jc w:val="center"/>
        <w:rPr>
          <w:rFonts w:hint="eastAsia" w:ascii="宋体" w:hAnsi="宋体" w:eastAsia="宋体" w:cs="宋体"/>
          <w:b w:val="0"/>
          <w:bCs w:val="0"/>
          <w:kern w:val="2"/>
          <w:sz w:val="24"/>
          <w:szCs w:val="24"/>
          <w:shd w:val="clear"/>
          <w:lang w:val="en-US" w:eastAsia="zh-CN" w:bidi="ar-SA"/>
        </w:rPr>
      </w:pPr>
    </w:p>
    <w:p w14:paraId="5F4E904B">
      <w:pPr>
        <w:pStyle w:val="5"/>
        <w:numPr>
          <w:ilvl w:val="0"/>
          <w:numId w:val="0"/>
        </w:numPr>
        <w:bidi w:val="0"/>
        <w:jc w:val="center"/>
        <w:rPr>
          <w:rFonts w:hint="eastAsia" w:ascii="宋体" w:hAnsi="宋体" w:eastAsia="宋体" w:cs="宋体"/>
          <w:b w:val="0"/>
          <w:bCs w:val="0"/>
          <w:kern w:val="2"/>
          <w:sz w:val="24"/>
          <w:szCs w:val="24"/>
          <w:shd w:val="clear"/>
          <w:lang w:val="en-US" w:eastAsia="zh-CN" w:bidi="ar-SA"/>
        </w:rPr>
      </w:pPr>
    </w:p>
    <w:p w14:paraId="55438D21">
      <w:pPr>
        <w:pStyle w:val="4"/>
        <w:rPr>
          <w:rFonts w:hint="eastAsia"/>
          <w:lang w:val="en-US" w:eastAsia="zh-CN"/>
        </w:rPr>
      </w:pPr>
    </w:p>
    <w:p w14:paraId="52B0A408">
      <w:pPr>
        <w:pStyle w:val="5"/>
        <w:numPr>
          <w:ilvl w:val="0"/>
          <w:numId w:val="0"/>
        </w:numPr>
        <w:bidi w:val="0"/>
        <w:jc w:val="center"/>
        <w:rPr>
          <w:rFonts w:hint="eastAsia" w:ascii="宋体" w:hAnsi="宋体" w:eastAsia="宋体" w:cs="宋体"/>
          <w:b w:val="0"/>
          <w:bCs w:val="0"/>
          <w:kern w:val="2"/>
          <w:sz w:val="24"/>
          <w:szCs w:val="24"/>
          <w:shd w:val="clear"/>
          <w:lang w:val="en-US" w:eastAsia="zh-CN" w:bidi="ar-SA"/>
        </w:rPr>
      </w:pPr>
    </w:p>
    <w:p w14:paraId="5C28DA88">
      <w:pPr>
        <w:pStyle w:val="5"/>
        <w:numPr>
          <w:ilvl w:val="0"/>
          <w:numId w:val="0"/>
        </w:numPr>
        <w:bidi w:val="0"/>
        <w:jc w:val="center"/>
        <w:rPr>
          <w:rFonts w:hint="eastAsia" w:ascii="宋体" w:hAnsi="宋体" w:eastAsia="宋体" w:cs="宋体"/>
          <w:b w:val="0"/>
          <w:bCs w:val="0"/>
          <w:kern w:val="2"/>
          <w:sz w:val="24"/>
          <w:szCs w:val="24"/>
          <w:shd w:val="clear"/>
          <w:lang w:val="en-US" w:eastAsia="zh-CN" w:bidi="ar-SA"/>
        </w:rPr>
      </w:pPr>
    </w:p>
    <w:p w14:paraId="051353E2">
      <w:pPr>
        <w:pStyle w:val="5"/>
        <w:numPr>
          <w:ilvl w:val="0"/>
          <w:numId w:val="0"/>
        </w:numPr>
        <w:bidi w:val="0"/>
        <w:jc w:val="center"/>
        <w:rPr>
          <w:rFonts w:hint="eastAsia" w:ascii="宋体" w:hAnsi="宋体" w:eastAsia="宋体" w:cs="宋体"/>
          <w:b w:val="0"/>
          <w:bCs w:val="0"/>
          <w:kern w:val="2"/>
          <w:sz w:val="24"/>
          <w:szCs w:val="24"/>
          <w:shd w:val="clear"/>
          <w:lang w:val="en-US" w:eastAsia="zh-CN" w:bidi="ar-SA"/>
        </w:rPr>
      </w:pPr>
    </w:p>
    <w:p w14:paraId="78865202">
      <w:pPr>
        <w:pStyle w:val="5"/>
        <w:numPr>
          <w:ilvl w:val="0"/>
          <w:numId w:val="0"/>
        </w:numPr>
        <w:bidi w:val="0"/>
        <w:jc w:val="center"/>
        <w:rPr>
          <w:rFonts w:hint="eastAsia" w:ascii="宋体" w:hAnsi="宋体" w:eastAsia="宋体" w:cs="宋体"/>
          <w:b w:val="0"/>
          <w:bCs w:val="0"/>
          <w:kern w:val="2"/>
          <w:sz w:val="24"/>
          <w:szCs w:val="24"/>
          <w:shd w:val="clear"/>
          <w:lang w:val="en-US" w:eastAsia="zh-CN" w:bidi="ar-SA"/>
        </w:rPr>
      </w:pPr>
    </w:p>
    <w:p w14:paraId="2523B4E4">
      <w:pPr>
        <w:pStyle w:val="5"/>
        <w:numPr>
          <w:ilvl w:val="0"/>
          <w:numId w:val="0"/>
        </w:numPr>
        <w:bidi w:val="0"/>
        <w:jc w:val="center"/>
        <w:rPr>
          <w:rFonts w:hint="eastAsia" w:ascii="宋体" w:hAnsi="宋体" w:eastAsia="宋体" w:cs="宋体"/>
          <w:b w:val="0"/>
          <w:bCs w:val="0"/>
          <w:kern w:val="2"/>
          <w:sz w:val="24"/>
          <w:szCs w:val="24"/>
          <w:shd w:val="clear"/>
          <w:lang w:val="en-US" w:eastAsia="zh-CN" w:bidi="ar-SA"/>
        </w:rPr>
      </w:pPr>
    </w:p>
    <w:p w14:paraId="3E162364">
      <w:pPr>
        <w:pStyle w:val="5"/>
        <w:numPr>
          <w:ilvl w:val="0"/>
          <w:numId w:val="0"/>
        </w:numPr>
        <w:bidi w:val="0"/>
        <w:jc w:val="center"/>
        <w:rPr>
          <w:rFonts w:hint="eastAsia" w:ascii="宋体" w:hAnsi="宋体" w:eastAsia="宋体" w:cs="宋体"/>
          <w:b w:val="0"/>
          <w:bCs w:val="0"/>
          <w:kern w:val="2"/>
          <w:sz w:val="24"/>
          <w:szCs w:val="24"/>
          <w:shd w:val="clear"/>
          <w:lang w:val="en-US" w:eastAsia="zh-CN" w:bidi="ar-SA"/>
        </w:rPr>
      </w:pPr>
    </w:p>
    <w:p w14:paraId="20735725">
      <w:pPr>
        <w:pStyle w:val="4"/>
        <w:rPr>
          <w:rFonts w:hint="eastAsia"/>
          <w:lang w:val="en-US" w:eastAsia="zh-CN"/>
        </w:rPr>
      </w:pPr>
    </w:p>
    <w:p w14:paraId="0DE2A057">
      <w:pPr>
        <w:pStyle w:val="5"/>
        <w:numPr>
          <w:ilvl w:val="0"/>
          <w:numId w:val="0"/>
        </w:numPr>
        <w:bidi w:val="0"/>
        <w:jc w:val="center"/>
        <w:rPr>
          <w:rFonts w:hint="eastAsia" w:ascii="宋体" w:hAnsi="宋体" w:eastAsia="宋体" w:cs="宋体"/>
          <w:b w:val="0"/>
          <w:bCs w:val="0"/>
          <w:kern w:val="2"/>
          <w:sz w:val="24"/>
          <w:szCs w:val="24"/>
          <w:shd w:val="clear"/>
          <w:lang w:val="en-US" w:eastAsia="zh-CN" w:bidi="ar-SA"/>
        </w:rPr>
      </w:pPr>
    </w:p>
    <w:p w14:paraId="7AE07D76">
      <w:pPr>
        <w:pStyle w:val="5"/>
        <w:numPr>
          <w:ilvl w:val="0"/>
          <w:numId w:val="0"/>
        </w:numPr>
        <w:bidi w:val="0"/>
        <w:jc w:val="center"/>
        <w:rPr>
          <w:rFonts w:hint="eastAsia" w:ascii="宋体" w:hAnsi="宋体" w:eastAsia="宋体" w:cs="宋体"/>
          <w:sz w:val="21"/>
          <w:szCs w:val="21"/>
          <w:lang w:val="en-US" w:eastAsia="zh-CN"/>
        </w:rPr>
      </w:pPr>
      <w:r>
        <w:rPr>
          <w:rFonts w:hint="eastAsia" w:cs="宋体"/>
          <w:b w:val="0"/>
          <w:bCs w:val="0"/>
          <w:kern w:val="2"/>
          <w:sz w:val="24"/>
          <w:szCs w:val="24"/>
          <w:shd w:val="clear"/>
          <w:lang w:val="en-US" w:eastAsia="zh-CN" w:bidi="ar-SA"/>
        </w:rPr>
        <w:t>表8</w:t>
      </w:r>
      <w:r>
        <w:rPr>
          <w:rFonts w:hint="eastAsia" w:ascii="宋体" w:hAnsi="宋体" w:eastAsia="宋体" w:cs="宋体"/>
          <w:b w:val="0"/>
          <w:bCs w:val="0"/>
          <w:kern w:val="2"/>
          <w:sz w:val="24"/>
          <w:szCs w:val="24"/>
          <w:shd w:val="clear"/>
          <w:lang w:val="en-US" w:eastAsia="zh-CN" w:bidi="ar-SA"/>
        </w:rPr>
        <w:t xml:space="preserve">  </w:t>
      </w:r>
      <w:r>
        <w:rPr>
          <w:rFonts w:hint="eastAsia" w:ascii="宋体" w:hAnsi="宋体" w:eastAsia="宋体" w:cs="宋体"/>
          <w:b w:val="0"/>
          <w:bCs w:val="0"/>
          <w:color w:val="auto"/>
          <w:kern w:val="2"/>
          <w:sz w:val="24"/>
          <w:szCs w:val="24"/>
          <w:highlight w:val="none"/>
          <w:shd w:val="clear"/>
          <w:lang w:val="en-US" w:eastAsia="zh-CN" w:bidi="ar-SA"/>
        </w:rPr>
        <w:t>附着式升降脚手架</w:t>
      </w:r>
      <w:r>
        <w:rPr>
          <w:rFonts w:hint="eastAsia" w:ascii="宋体" w:hAnsi="宋体" w:cs="宋体"/>
          <w:b w:val="0"/>
          <w:bCs w:val="0"/>
          <w:color w:val="auto"/>
          <w:kern w:val="2"/>
          <w:sz w:val="24"/>
          <w:szCs w:val="24"/>
          <w:highlight w:val="none"/>
          <w:shd w:val="clear"/>
          <w:lang w:val="en-US" w:eastAsia="zh-CN" w:bidi="ar-SA"/>
        </w:rPr>
        <w:t>红线</w:t>
      </w:r>
      <w:r>
        <w:rPr>
          <w:rFonts w:hint="eastAsia" w:cs="宋体"/>
          <w:b w:val="0"/>
          <w:bCs w:val="0"/>
          <w:color w:val="auto"/>
          <w:kern w:val="2"/>
          <w:sz w:val="24"/>
          <w:szCs w:val="24"/>
          <w:highlight w:val="none"/>
          <w:shd w:val="clear"/>
          <w:lang w:val="en-US" w:eastAsia="zh-CN" w:bidi="ar-SA"/>
        </w:rPr>
        <w:t>隐患负面</w:t>
      </w:r>
      <w:r>
        <w:rPr>
          <w:rFonts w:hint="eastAsia" w:ascii="宋体" w:hAnsi="宋体" w:eastAsia="宋体" w:cs="宋体"/>
          <w:color w:val="auto"/>
          <w:sz w:val="24"/>
          <w:szCs w:val="24"/>
          <w:highlight w:val="none"/>
          <w:lang w:val="en-US" w:eastAsia="zh-CN"/>
        </w:rPr>
        <w:t>清单</w:t>
      </w:r>
    </w:p>
    <w:tbl>
      <w:tblPr>
        <w:tblStyle w:val="16"/>
        <w:tblW w:w="14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96"/>
        <w:gridCol w:w="666"/>
        <w:gridCol w:w="2934"/>
        <w:gridCol w:w="8150"/>
        <w:gridCol w:w="1900"/>
      </w:tblGrid>
      <w:tr w14:paraId="21A5D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trPr>
        <w:tc>
          <w:tcPr>
            <w:tcW w:w="496" w:type="dxa"/>
            <w:shd w:val="clear" w:color="auto" w:fill="auto"/>
            <w:vAlign w:val="center"/>
          </w:tcPr>
          <w:p w14:paraId="4C6BECC8">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序号</w:t>
            </w:r>
          </w:p>
        </w:tc>
        <w:tc>
          <w:tcPr>
            <w:tcW w:w="666" w:type="dxa"/>
            <w:shd w:val="clear" w:color="auto" w:fill="auto"/>
            <w:vAlign w:val="center"/>
          </w:tcPr>
          <w:p w14:paraId="5564D0E7">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部件名称</w:t>
            </w:r>
          </w:p>
        </w:tc>
        <w:tc>
          <w:tcPr>
            <w:tcW w:w="2934" w:type="dxa"/>
            <w:shd w:val="clear" w:color="auto" w:fill="auto"/>
            <w:vAlign w:val="center"/>
          </w:tcPr>
          <w:p w14:paraId="69D85C9F">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红线隐患</w:t>
            </w:r>
          </w:p>
        </w:tc>
        <w:tc>
          <w:tcPr>
            <w:tcW w:w="8150" w:type="dxa"/>
            <w:shd w:val="clear" w:color="auto" w:fill="auto"/>
            <w:vAlign w:val="center"/>
          </w:tcPr>
          <w:p w14:paraId="3AD8C171">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细化描述</w:t>
            </w:r>
          </w:p>
        </w:tc>
        <w:tc>
          <w:tcPr>
            <w:tcW w:w="1900" w:type="dxa"/>
            <w:shd w:val="clear" w:color="auto" w:fill="auto"/>
            <w:vAlign w:val="center"/>
          </w:tcPr>
          <w:p w14:paraId="6DD0D2B8">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val="0"/>
                <w:bCs/>
                <w:i w:val="0"/>
                <w:iCs w:val="0"/>
                <w:color w:val="000000"/>
                <w:kern w:val="0"/>
                <w:sz w:val="21"/>
                <w:szCs w:val="21"/>
                <w:u w:val="none"/>
                <w:lang w:val="en-US" w:eastAsia="zh-CN" w:bidi="ar"/>
              </w:rPr>
              <w:t>责任单位</w:t>
            </w:r>
          </w:p>
        </w:tc>
      </w:tr>
      <w:tr w14:paraId="1CFE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496" w:type="dxa"/>
            <w:shd w:val="clear" w:color="auto" w:fill="auto"/>
            <w:vAlign w:val="center"/>
          </w:tcPr>
          <w:p w14:paraId="0D85871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66" w:type="dxa"/>
            <w:shd w:val="clear" w:color="auto" w:fill="auto"/>
            <w:vAlign w:val="center"/>
          </w:tcPr>
          <w:p w14:paraId="55EF77F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资料</w:t>
            </w:r>
          </w:p>
        </w:tc>
        <w:tc>
          <w:tcPr>
            <w:tcW w:w="2934" w:type="dxa"/>
            <w:shd w:val="clear" w:color="auto" w:fill="auto"/>
            <w:vAlign w:val="center"/>
          </w:tcPr>
          <w:p w14:paraId="7D09CC0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1、无检测报告、施工方案或相关专项论证、月检记录；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2、设备状况与资料不符。</w:t>
            </w:r>
          </w:p>
        </w:tc>
        <w:tc>
          <w:tcPr>
            <w:tcW w:w="8150" w:type="dxa"/>
            <w:shd w:val="clear" w:color="auto" w:fill="auto"/>
            <w:vAlign w:val="center"/>
          </w:tcPr>
          <w:p w14:paraId="4BF31EBF">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1、无检验报告；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2、未提供施工方案或相关专项论证报告；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w:t>
            </w:r>
            <w:r>
              <w:rPr>
                <w:rFonts w:hint="eastAsia" w:ascii="宋体" w:hAnsi="宋体" w:eastAsia="宋体" w:cs="宋体"/>
                <w:b w:val="0"/>
                <w:i w:val="0"/>
                <w:iCs w:val="0"/>
                <w:color w:val="000000"/>
                <w:kern w:val="0"/>
                <w:sz w:val="21"/>
                <w:szCs w:val="21"/>
                <w:u w:val="none"/>
                <w:lang w:val="en-US" w:eastAsia="zh-CN" w:bidi="ar"/>
              </w:rPr>
              <w:t>无检查前三个月月度检查记录</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4、设备型式、安装参数与专项方案等资料不符。</w:t>
            </w:r>
          </w:p>
        </w:tc>
        <w:tc>
          <w:tcPr>
            <w:tcW w:w="1900" w:type="dxa"/>
            <w:shd w:val="clear" w:color="auto" w:fill="auto"/>
            <w:vAlign w:val="center"/>
          </w:tcPr>
          <w:p w14:paraId="003006A4">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1.总包（使用）单位、监理单位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2.安装（维保）单位</w:t>
            </w:r>
          </w:p>
        </w:tc>
      </w:tr>
      <w:tr w14:paraId="1DB11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496" w:type="dxa"/>
            <w:vMerge w:val="restart"/>
            <w:shd w:val="clear" w:color="auto" w:fill="auto"/>
            <w:vAlign w:val="center"/>
          </w:tcPr>
          <w:p w14:paraId="4B63922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66" w:type="dxa"/>
            <w:vMerge w:val="restart"/>
            <w:shd w:val="clear" w:color="auto" w:fill="auto"/>
            <w:vAlign w:val="center"/>
          </w:tcPr>
          <w:p w14:paraId="5B9DB39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架体</w:t>
            </w:r>
          </w:p>
        </w:tc>
        <w:tc>
          <w:tcPr>
            <w:tcW w:w="2934" w:type="dxa"/>
            <w:shd w:val="clear" w:color="auto" w:fill="auto"/>
            <w:vAlign w:val="center"/>
          </w:tcPr>
          <w:p w14:paraId="4C70AA3F">
            <w:pPr>
              <w:keepNext w:val="0"/>
              <w:keepLines w:val="0"/>
              <w:widowControl/>
              <w:numPr>
                <w:ilvl w:val="0"/>
                <w:numId w:val="50"/>
              </w:numPr>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主要受力构件有明显塑性变形、裂纹、严重锈蚀等缺陷；</w:t>
            </w:r>
          </w:p>
          <w:p w14:paraId="2D4E1DAA">
            <w:pPr>
              <w:keepNext w:val="0"/>
              <w:keepLines w:val="0"/>
              <w:widowControl/>
              <w:numPr>
                <w:ilvl w:val="0"/>
                <w:numId w:val="50"/>
              </w:numPr>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环链存在可见裂纹。</w:t>
            </w:r>
          </w:p>
        </w:tc>
        <w:tc>
          <w:tcPr>
            <w:tcW w:w="8150" w:type="dxa"/>
            <w:shd w:val="clear" w:color="auto" w:fill="auto"/>
            <w:vAlign w:val="top"/>
          </w:tcPr>
          <w:p w14:paraId="3412EC4A">
            <w:pPr>
              <w:keepNext w:val="0"/>
              <w:keepLines w:val="0"/>
              <w:widowControl/>
              <w:numPr>
                <w:ilvl w:val="0"/>
                <w:numId w:val="51"/>
              </w:numPr>
              <w:suppressLineNumbers w:val="0"/>
              <w:spacing w:line="240" w:lineRule="auto"/>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垂直主框架、防倾导轨、附着支座等结构件腐蚀深度达原厚度的12%；取典型测点，每件不少于10点取平均值；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2、垂直主框架、防倾导轨等主要受力结构件存在明显变形，变形量达到8</w:t>
            </w:r>
            <w:r>
              <w:rPr>
                <w:rFonts w:hint="default" w:ascii="Arial" w:hAnsi="Arial" w:eastAsia="宋体" w:cs="Arial"/>
                <w:i w:val="0"/>
                <w:iCs w:val="0"/>
                <w:color w:val="000000"/>
                <w:kern w:val="0"/>
                <w:sz w:val="21"/>
                <w:szCs w:val="21"/>
                <w:u w:val="none"/>
                <w:lang w:val="en-US" w:eastAsia="zh-CN" w:bidi="ar"/>
              </w:rPr>
              <w:t>‰</w:t>
            </w:r>
            <w:r>
              <w:rPr>
                <w:rFonts w:hint="eastAsia" w:ascii="Arial" w:hAnsi="Arial" w:eastAsia="宋体" w:cs="Arial"/>
                <w:i w:val="0"/>
                <w:iCs w:val="0"/>
                <w:color w:val="000000"/>
                <w:kern w:val="0"/>
                <w:sz w:val="21"/>
                <w:szCs w:val="21"/>
                <w:u w:val="none"/>
                <w:lang w:val="en-US" w:eastAsia="zh-CN" w:bidi="ar"/>
              </w:rPr>
              <w:t>且</w:t>
            </w:r>
            <w:r>
              <w:rPr>
                <w:rFonts w:hint="eastAsia" w:ascii="宋体" w:hAnsi="宋体" w:eastAsia="宋体" w:cs="宋体"/>
                <w:i w:val="0"/>
                <w:iCs w:val="0"/>
                <w:color w:val="000000"/>
                <w:kern w:val="0"/>
                <w:sz w:val="21"/>
                <w:szCs w:val="21"/>
                <w:u w:val="none"/>
                <w:lang w:val="en-US" w:eastAsia="zh-CN" w:bidi="ar"/>
              </w:rPr>
              <w:t>5处及以上；或总变形量70mm及以上；</w:t>
            </w:r>
          </w:p>
          <w:p w14:paraId="59342744">
            <w:pPr>
              <w:keepNext w:val="0"/>
              <w:keepLines w:val="0"/>
              <w:widowControl/>
              <w:numPr>
                <w:ilvl w:val="0"/>
                <w:numId w:val="0"/>
              </w:numPr>
              <w:suppressLineNumbers w:val="0"/>
              <w:spacing w:line="24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3、环链存在可见裂纹。</w:t>
            </w:r>
          </w:p>
        </w:tc>
        <w:tc>
          <w:tcPr>
            <w:tcW w:w="1900" w:type="dxa"/>
            <w:vMerge w:val="restart"/>
            <w:shd w:val="clear" w:color="auto" w:fill="auto"/>
            <w:vAlign w:val="center"/>
          </w:tcPr>
          <w:p w14:paraId="698A98F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r w14:paraId="17D93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96" w:type="dxa"/>
            <w:vMerge w:val="continue"/>
            <w:shd w:val="clear" w:color="auto" w:fill="auto"/>
            <w:vAlign w:val="center"/>
          </w:tcPr>
          <w:p w14:paraId="2BBE847C">
            <w:pPr>
              <w:spacing w:line="240" w:lineRule="auto"/>
              <w:jc w:val="center"/>
              <w:rPr>
                <w:rFonts w:hint="eastAsia" w:ascii="宋体" w:hAnsi="宋体" w:eastAsia="宋体" w:cs="宋体"/>
                <w:i w:val="0"/>
                <w:iCs w:val="0"/>
                <w:color w:val="000000"/>
                <w:sz w:val="21"/>
                <w:szCs w:val="21"/>
                <w:u w:val="none"/>
              </w:rPr>
            </w:pPr>
          </w:p>
        </w:tc>
        <w:tc>
          <w:tcPr>
            <w:tcW w:w="666" w:type="dxa"/>
            <w:vMerge w:val="continue"/>
            <w:shd w:val="clear" w:color="auto" w:fill="auto"/>
            <w:vAlign w:val="center"/>
          </w:tcPr>
          <w:p w14:paraId="71F83655">
            <w:pPr>
              <w:spacing w:line="240" w:lineRule="auto"/>
              <w:jc w:val="center"/>
              <w:rPr>
                <w:rFonts w:hint="eastAsia" w:ascii="宋体" w:hAnsi="宋体" w:eastAsia="宋体" w:cs="宋体"/>
                <w:i w:val="0"/>
                <w:iCs w:val="0"/>
                <w:color w:val="000000"/>
                <w:sz w:val="21"/>
                <w:szCs w:val="21"/>
                <w:u w:val="none"/>
              </w:rPr>
            </w:pPr>
          </w:p>
        </w:tc>
        <w:tc>
          <w:tcPr>
            <w:tcW w:w="2934" w:type="dxa"/>
            <w:shd w:val="clear" w:color="auto" w:fill="auto"/>
            <w:vAlign w:val="center"/>
          </w:tcPr>
          <w:p w14:paraId="3E8F9186">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1、半装配型架体外立面沿全高未设置剪刀撑；装配型架体不少金属防护网片；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2、竖向主框架、水平支承桁架和架体构架未连成一体。</w:t>
            </w:r>
          </w:p>
        </w:tc>
        <w:tc>
          <w:tcPr>
            <w:tcW w:w="8150" w:type="dxa"/>
            <w:shd w:val="clear" w:color="auto" w:fill="auto"/>
            <w:vAlign w:val="center"/>
          </w:tcPr>
          <w:p w14:paraId="6A172781">
            <w:pPr>
              <w:keepNext w:val="0"/>
              <w:keepLines w:val="0"/>
              <w:widowControl/>
              <w:suppressLineNumbers w:val="0"/>
              <w:spacing w:line="240" w:lineRule="auto"/>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1、半装配型架体外立面沿全高未设置剪刀撑；装配型附着式脚手架未安装或缺失金属防护网片3片及以上（不计塔机附墙处等）；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2、竖向主框架、水平支承桁架和架体构架之间漏装螺栓或销轴每跨达到5处及以上。</w:t>
            </w:r>
          </w:p>
        </w:tc>
        <w:tc>
          <w:tcPr>
            <w:tcW w:w="1900" w:type="dxa"/>
            <w:vMerge w:val="continue"/>
            <w:shd w:val="clear" w:color="auto" w:fill="auto"/>
            <w:vAlign w:val="center"/>
          </w:tcPr>
          <w:p w14:paraId="5FC93E9E">
            <w:pPr>
              <w:spacing w:line="240" w:lineRule="auto"/>
              <w:jc w:val="left"/>
              <w:rPr>
                <w:rFonts w:hint="eastAsia" w:ascii="宋体" w:hAnsi="宋体" w:eastAsia="宋体" w:cs="宋体"/>
                <w:i w:val="0"/>
                <w:iCs w:val="0"/>
                <w:color w:val="000000"/>
                <w:sz w:val="21"/>
                <w:szCs w:val="21"/>
                <w:u w:val="none"/>
              </w:rPr>
            </w:pPr>
          </w:p>
        </w:tc>
      </w:tr>
      <w:tr w14:paraId="651BE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496" w:type="dxa"/>
            <w:vMerge w:val="continue"/>
            <w:shd w:val="clear" w:color="auto" w:fill="auto"/>
            <w:vAlign w:val="center"/>
          </w:tcPr>
          <w:p w14:paraId="391C395A">
            <w:pPr>
              <w:spacing w:line="240" w:lineRule="auto"/>
              <w:jc w:val="center"/>
              <w:rPr>
                <w:rFonts w:hint="eastAsia" w:ascii="宋体" w:hAnsi="宋体" w:eastAsia="宋体" w:cs="宋体"/>
                <w:i w:val="0"/>
                <w:iCs w:val="0"/>
                <w:color w:val="000000"/>
                <w:sz w:val="21"/>
                <w:szCs w:val="21"/>
                <w:u w:val="none"/>
              </w:rPr>
            </w:pPr>
          </w:p>
        </w:tc>
        <w:tc>
          <w:tcPr>
            <w:tcW w:w="666" w:type="dxa"/>
            <w:vMerge w:val="continue"/>
            <w:shd w:val="clear" w:color="auto" w:fill="auto"/>
            <w:vAlign w:val="center"/>
          </w:tcPr>
          <w:p w14:paraId="533ED188">
            <w:pPr>
              <w:spacing w:line="240" w:lineRule="auto"/>
              <w:jc w:val="center"/>
              <w:rPr>
                <w:rFonts w:hint="eastAsia" w:ascii="宋体" w:hAnsi="宋体" w:eastAsia="宋体" w:cs="宋体"/>
                <w:i w:val="0"/>
                <w:iCs w:val="0"/>
                <w:color w:val="000000"/>
                <w:sz w:val="21"/>
                <w:szCs w:val="21"/>
                <w:u w:val="none"/>
              </w:rPr>
            </w:pPr>
          </w:p>
        </w:tc>
        <w:tc>
          <w:tcPr>
            <w:tcW w:w="2934" w:type="dxa"/>
            <w:shd w:val="clear" w:color="auto" w:fill="auto"/>
            <w:vAlign w:val="center"/>
          </w:tcPr>
          <w:p w14:paraId="41FC2514">
            <w:pPr>
              <w:keepNext w:val="0"/>
              <w:keepLines w:val="0"/>
              <w:widowControl/>
              <w:numPr>
                <w:ilvl w:val="0"/>
                <w:numId w:val="52"/>
              </w:numPr>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架体悬臂高度超标；</w:t>
            </w:r>
          </w:p>
          <w:p w14:paraId="0B467CCD">
            <w:pPr>
              <w:keepNext w:val="0"/>
              <w:keepLines w:val="0"/>
              <w:widowControl/>
              <w:numPr>
                <w:ilvl w:val="0"/>
                <w:numId w:val="52"/>
              </w:numPr>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架体直线跨度超标；</w:t>
            </w:r>
          </w:p>
          <w:p w14:paraId="17A71A01">
            <w:pPr>
              <w:keepNext w:val="0"/>
              <w:keepLines w:val="0"/>
              <w:widowControl/>
              <w:numPr>
                <w:ilvl w:val="0"/>
                <w:numId w:val="52"/>
              </w:numPr>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架体水平悬挑超标。</w:t>
            </w:r>
          </w:p>
        </w:tc>
        <w:tc>
          <w:tcPr>
            <w:tcW w:w="8150" w:type="dxa"/>
            <w:shd w:val="clear" w:color="auto" w:fill="auto"/>
            <w:vAlign w:val="center"/>
          </w:tcPr>
          <w:p w14:paraId="57D3F58B">
            <w:pPr>
              <w:keepNext w:val="0"/>
              <w:keepLines w:val="0"/>
              <w:widowControl/>
              <w:numPr>
                <w:ilvl w:val="0"/>
                <w:numId w:val="53"/>
              </w:numPr>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架体悬臂高度大于7m及以上；</w:t>
            </w:r>
          </w:p>
          <w:p w14:paraId="50E04986">
            <w:pPr>
              <w:keepNext w:val="0"/>
              <w:keepLines w:val="0"/>
              <w:widowControl/>
              <w:numPr>
                <w:ilvl w:val="0"/>
                <w:numId w:val="53"/>
              </w:numPr>
              <w:suppressLineNumbers w:val="0"/>
              <w:spacing w:line="240" w:lineRule="auto"/>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架体直线跨度大于7m及以上；</w:t>
            </w:r>
          </w:p>
          <w:p w14:paraId="4F8F7753">
            <w:pPr>
              <w:keepNext w:val="0"/>
              <w:keepLines w:val="0"/>
              <w:widowControl/>
              <w:numPr>
                <w:ilvl w:val="0"/>
                <w:numId w:val="53"/>
              </w:numPr>
              <w:suppressLineNumbers w:val="0"/>
              <w:spacing w:line="240" w:lineRule="auto"/>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架体水平悬挑大于2.5m及以上。</w:t>
            </w:r>
          </w:p>
        </w:tc>
        <w:tc>
          <w:tcPr>
            <w:tcW w:w="1900" w:type="dxa"/>
            <w:vMerge w:val="continue"/>
            <w:shd w:val="clear" w:color="auto" w:fill="auto"/>
            <w:vAlign w:val="center"/>
          </w:tcPr>
          <w:p w14:paraId="705D6E2A">
            <w:pPr>
              <w:spacing w:line="240" w:lineRule="auto"/>
              <w:jc w:val="left"/>
              <w:rPr>
                <w:rFonts w:hint="eastAsia" w:ascii="宋体" w:hAnsi="宋体" w:eastAsia="宋体" w:cs="宋体"/>
                <w:i w:val="0"/>
                <w:iCs w:val="0"/>
                <w:color w:val="000000"/>
                <w:sz w:val="21"/>
                <w:szCs w:val="21"/>
                <w:u w:val="none"/>
              </w:rPr>
            </w:pPr>
          </w:p>
        </w:tc>
      </w:tr>
      <w:tr w14:paraId="2783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96" w:type="dxa"/>
            <w:vMerge w:val="continue"/>
            <w:shd w:val="clear" w:color="auto" w:fill="auto"/>
            <w:vAlign w:val="center"/>
          </w:tcPr>
          <w:p w14:paraId="053BB9D9">
            <w:pPr>
              <w:spacing w:line="240" w:lineRule="auto"/>
              <w:jc w:val="center"/>
              <w:rPr>
                <w:rFonts w:hint="eastAsia" w:ascii="宋体" w:hAnsi="宋体" w:eastAsia="宋体" w:cs="宋体"/>
                <w:i w:val="0"/>
                <w:iCs w:val="0"/>
                <w:color w:val="000000"/>
                <w:sz w:val="21"/>
                <w:szCs w:val="21"/>
                <w:u w:val="none"/>
              </w:rPr>
            </w:pPr>
          </w:p>
        </w:tc>
        <w:tc>
          <w:tcPr>
            <w:tcW w:w="666" w:type="dxa"/>
            <w:vMerge w:val="continue"/>
            <w:shd w:val="clear" w:color="auto" w:fill="auto"/>
            <w:vAlign w:val="center"/>
          </w:tcPr>
          <w:p w14:paraId="1A01712E">
            <w:pPr>
              <w:spacing w:line="240" w:lineRule="auto"/>
              <w:jc w:val="center"/>
              <w:rPr>
                <w:rFonts w:hint="eastAsia" w:ascii="宋体" w:hAnsi="宋体" w:eastAsia="宋体" w:cs="宋体"/>
                <w:i w:val="0"/>
                <w:iCs w:val="0"/>
                <w:color w:val="000000"/>
                <w:sz w:val="21"/>
                <w:szCs w:val="21"/>
                <w:u w:val="none"/>
              </w:rPr>
            </w:pPr>
          </w:p>
        </w:tc>
        <w:tc>
          <w:tcPr>
            <w:tcW w:w="2934" w:type="dxa"/>
            <w:shd w:val="clear" w:color="auto" w:fill="auto"/>
            <w:vAlign w:val="center"/>
          </w:tcPr>
          <w:p w14:paraId="67A415F2">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卸料平台与附着式升降脚手架相连。</w:t>
            </w:r>
          </w:p>
        </w:tc>
        <w:tc>
          <w:tcPr>
            <w:tcW w:w="8150" w:type="dxa"/>
            <w:shd w:val="clear" w:color="auto" w:fill="auto"/>
            <w:vAlign w:val="center"/>
          </w:tcPr>
          <w:p w14:paraId="16901012">
            <w:pPr>
              <w:keepNext w:val="0"/>
              <w:keepLines w:val="0"/>
              <w:widowControl/>
              <w:suppressLineNumbers w:val="0"/>
              <w:spacing w:line="240" w:lineRule="auto"/>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卸料平台与附着式升降脚手架相连，并传力给脚手架。</w:t>
            </w:r>
          </w:p>
        </w:tc>
        <w:tc>
          <w:tcPr>
            <w:tcW w:w="1900" w:type="dxa"/>
            <w:vMerge w:val="continue"/>
            <w:shd w:val="clear" w:color="auto" w:fill="auto"/>
            <w:vAlign w:val="center"/>
          </w:tcPr>
          <w:p w14:paraId="6182E9BA">
            <w:pPr>
              <w:spacing w:line="240" w:lineRule="auto"/>
              <w:jc w:val="left"/>
              <w:rPr>
                <w:rFonts w:hint="eastAsia" w:ascii="宋体" w:hAnsi="宋体" w:eastAsia="宋体" w:cs="宋体"/>
                <w:i w:val="0"/>
                <w:iCs w:val="0"/>
                <w:color w:val="000000"/>
                <w:sz w:val="21"/>
                <w:szCs w:val="21"/>
                <w:u w:val="none"/>
              </w:rPr>
            </w:pPr>
          </w:p>
        </w:tc>
      </w:tr>
      <w:tr w14:paraId="1EAC0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96" w:type="dxa"/>
            <w:shd w:val="clear" w:color="auto" w:fill="auto"/>
            <w:vAlign w:val="center"/>
          </w:tcPr>
          <w:p w14:paraId="062E051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66" w:type="dxa"/>
            <w:shd w:val="clear" w:color="auto" w:fill="auto"/>
            <w:vAlign w:val="center"/>
          </w:tcPr>
          <w:p w14:paraId="2EB7CE4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附墙支座</w:t>
            </w:r>
          </w:p>
        </w:tc>
        <w:tc>
          <w:tcPr>
            <w:tcW w:w="2934" w:type="dxa"/>
            <w:shd w:val="clear" w:color="auto" w:fill="auto"/>
            <w:vAlign w:val="center"/>
          </w:tcPr>
          <w:p w14:paraId="7FEBAF5B">
            <w:pPr>
              <w:keepNext w:val="0"/>
              <w:keepLines w:val="0"/>
              <w:widowControl/>
              <w:numPr>
                <w:ilvl w:val="0"/>
                <w:numId w:val="54"/>
              </w:numPr>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竖向主框架覆盖高度内未在每一个楼层设置一处附墙支座；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2、中心吊点式附墙支座与竖向主框架无固定；</w:t>
            </w:r>
          </w:p>
          <w:p w14:paraId="269A3EA7">
            <w:pPr>
              <w:keepNext w:val="0"/>
              <w:keepLines w:val="0"/>
              <w:widowControl/>
              <w:numPr>
                <w:ilvl w:val="0"/>
                <w:numId w:val="0"/>
              </w:numPr>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3、偏心吊点式无停层装置或停层装置受力严重不均。</w:t>
            </w:r>
          </w:p>
        </w:tc>
        <w:tc>
          <w:tcPr>
            <w:tcW w:w="8150" w:type="dxa"/>
            <w:shd w:val="clear" w:color="auto" w:fill="auto"/>
            <w:vAlign w:val="center"/>
          </w:tcPr>
          <w:p w14:paraId="2EF08F6F">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1、连续2个机位及以上的导轨架未设置3处附墙支座，并未做临时拉结；</w:t>
            </w:r>
          </w:p>
          <w:p w14:paraId="503F160D">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2、中心吊点式附墙支座与竖向主框架未固定；</w:t>
            </w:r>
          </w:p>
          <w:p w14:paraId="6CC46464">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3、偏心吊点式无停层装置或停层装置受力不均达到10处及以上。</w:t>
            </w:r>
          </w:p>
        </w:tc>
        <w:tc>
          <w:tcPr>
            <w:tcW w:w="1900" w:type="dxa"/>
            <w:shd w:val="clear" w:color="auto" w:fill="auto"/>
            <w:vAlign w:val="center"/>
          </w:tcPr>
          <w:p w14:paraId="39848D8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r w14:paraId="520FE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96" w:type="dxa"/>
            <w:shd w:val="clear" w:color="auto" w:fill="auto"/>
            <w:vAlign w:val="center"/>
          </w:tcPr>
          <w:p w14:paraId="664DE19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66" w:type="dxa"/>
            <w:shd w:val="clear" w:color="auto" w:fill="auto"/>
            <w:vAlign w:val="center"/>
          </w:tcPr>
          <w:p w14:paraId="62EDB08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防倾装置</w:t>
            </w:r>
          </w:p>
        </w:tc>
        <w:tc>
          <w:tcPr>
            <w:tcW w:w="2934" w:type="dxa"/>
            <w:shd w:val="clear" w:color="auto" w:fill="auto"/>
            <w:vAlign w:val="center"/>
          </w:tcPr>
          <w:p w14:paraId="09DF0D13">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1、附墙支座未配置防倾装置，或防倾导向件松动、脱落；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2、最上和最下两个导向件之间的最小间距小于架体高度的1/4或2.8m。</w:t>
            </w:r>
          </w:p>
        </w:tc>
        <w:tc>
          <w:tcPr>
            <w:tcW w:w="8150" w:type="dxa"/>
            <w:shd w:val="clear" w:color="auto" w:fill="auto"/>
            <w:vAlign w:val="center"/>
          </w:tcPr>
          <w:p w14:paraId="7D9B7E28">
            <w:pPr>
              <w:keepNext w:val="0"/>
              <w:keepLines w:val="0"/>
              <w:widowControl/>
              <w:suppressLineNumbers w:val="0"/>
              <w:spacing w:line="240" w:lineRule="auto"/>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1、附墙支座未设防倾装置，或防倾导向件松动、错位、脱落使导轨有脱离约束可能；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2、最上和最下两个导向件之间的最小间距小于架体高度的1/4或2.8m及以下。</w:t>
            </w:r>
          </w:p>
        </w:tc>
        <w:tc>
          <w:tcPr>
            <w:tcW w:w="1900" w:type="dxa"/>
            <w:shd w:val="clear" w:color="auto" w:fill="auto"/>
            <w:vAlign w:val="center"/>
          </w:tcPr>
          <w:p w14:paraId="22BFE65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r w14:paraId="443F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96" w:type="dxa"/>
            <w:shd w:val="clear" w:color="auto" w:fill="auto"/>
            <w:vAlign w:val="center"/>
          </w:tcPr>
          <w:p w14:paraId="7814D9E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66" w:type="dxa"/>
            <w:shd w:val="clear" w:color="auto" w:fill="auto"/>
            <w:vAlign w:val="center"/>
          </w:tcPr>
          <w:p w14:paraId="7226D98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防坠装置</w:t>
            </w:r>
          </w:p>
        </w:tc>
        <w:tc>
          <w:tcPr>
            <w:tcW w:w="2934" w:type="dxa"/>
            <w:shd w:val="clear" w:color="auto" w:fill="auto"/>
            <w:vAlign w:val="center"/>
          </w:tcPr>
          <w:p w14:paraId="55382A7F">
            <w:pPr>
              <w:keepNext w:val="0"/>
              <w:keepLines w:val="0"/>
              <w:widowControl/>
              <w:numPr>
                <w:ilvl w:val="0"/>
                <w:numId w:val="55"/>
              </w:numPr>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未设置在竖向主框架部位且未附着在建筑物上；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2、防坠装置与提升设备设置在同一个附墙支承结构上；</w:t>
            </w:r>
          </w:p>
          <w:p w14:paraId="6D6CF200">
            <w:pPr>
              <w:keepNext w:val="0"/>
              <w:keepLines w:val="0"/>
              <w:widowControl/>
              <w:numPr>
                <w:ilvl w:val="0"/>
                <w:numId w:val="0"/>
              </w:numPr>
              <w:suppressLineNumbers w:val="0"/>
              <w:spacing w:line="240" w:lineRule="auto"/>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3、防坠动作元件被混凝土浆凝结。</w:t>
            </w:r>
          </w:p>
        </w:tc>
        <w:tc>
          <w:tcPr>
            <w:tcW w:w="8150" w:type="dxa"/>
            <w:shd w:val="clear" w:color="auto" w:fill="auto"/>
            <w:vAlign w:val="center"/>
          </w:tcPr>
          <w:p w14:paraId="5EE29C9B">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1、防坠装置未有效设置；</w:t>
            </w:r>
          </w:p>
          <w:p w14:paraId="7A27277C">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2、防坠装置与提升设备受力于同一个附墙支承结构上；</w:t>
            </w:r>
          </w:p>
          <w:p w14:paraId="7490401A">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3、被混凝土浆凝结固定的防坠动作元件达到5个及以上，或一个机位的防坠动作元件全部被混凝土浆凝结而失去防坠功能。</w:t>
            </w:r>
          </w:p>
        </w:tc>
        <w:tc>
          <w:tcPr>
            <w:tcW w:w="1900" w:type="dxa"/>
            <w:shd w:val="clear" w:color="auto" w:fill="auto"/>
            <w:vAlign w:val="center"/>
          </w:tcPr>
          <w:p w14:paraId="2217F19B">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r w14:paraId="0FF01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496" w:type="dxa"/>
            <w:shd w:val="clear" w:color="auto" w:fill="auto"/>
            <w:vAlign w:val="center"/>
          </w:tcPr>
          <w:p w14:paraId="2922550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66" w:type="dxa"/>
            <w:shd w:val="clear" w:color="auto" w:fill="auto"/>
            <w:vAlign w:val="center"/>
          </w:tcPr>
          <w:p w14:paraId="17F8C6D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架体安全防护</w:t>
            </w:r>
          </w:p>
        </w:tc>
        <w:tc>
          <w:tcPr>
            <w:tcW w:w="2934" w:type="dxa"/>
            <w:shd w:val="clear" w:color="auto" w:fill="auto"/>
            <w:vAlign w:val="center"/>
          </w:tcPr>
          <w:p w14:paraId="6F025CC9">
            <w:pPr>
              <w:keepNext w:val="0"/>
              <w:keepLines w:val="0"/>
              <w:widowControl/>
              <w:numPr>
                <w:ilvl w:val="0"/>
                <w:numId w:val="56"/>
              </w:numPr>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架体端部未加设防护栏杆；</w:t>
            </w:r>
          </w:p>
          <w:p w14:paraId="09CB887F">
            <w:pPr>
              <w:keepNext w:val="0"/>
              <w:keepLines w:val="0"/>
              <w:widowControl/>
              <w:numPr>
                <w:ilvl w:val="0"/>
                <w:numId w:val="56"/>
              </w:numPr>
              <w:suppressLineNumbers w:val="0"/>
              <w:spacing w:line="240" w:lineRule="auto"/>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架体底层内侧未设密封翻板。</w:t>
            </w:r>
          </w:p>
        </w:tc>
        <w:tc>
          <w:tcPr>
            <w:tcW w:w="8150" w:type="dxa"/>
            <w:shd w:val="clear" w:color="auto" w:fill="auto"/>
            <w:vAlign w:val="center"/>
          </w:tcPr>
          <w:p w14:paraId="6C0266EF">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1、架体端部开口处未设防护栏杆，存在坠落风险；</w:t>
            </w:r>
          </w:p>
          <w:p w14:paraId="73D8F876">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2、架体底层内侧未设密封翻板且合计长度达到10m及以上。</w:t>
            </w:r>
          </w:p>
        </w:tc>
        <w:tc>
          <w:tcPr>
            <w:tcW w:w="1900" w:type="dxa"/>
            <w:shd w:val="clear" w:color="auto" w:fill="auto"/>
            <w:vAlign w:val="center"/>
          </w:tcPr>
          <w:p w14:paraId="0E2F1B7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r w14:paraId="172B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96" w:type="dxa"/>
            <w:vMerge w:val="restart"/>
            <w:shd w:val="clear" w:color="auto" w:fill="auto"/>
            <w:vAlign w:val="center"/>
          </w:tcPr>
          <w:p w14:paraId="52BB3BB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66" w:type="dxa"/>
            <w:vMerge w:val="restart"/>
            <w:shd w:val="clear" w:color="auto" w:fill="auto"/>
            <w:vAlign w:val="center"/>
          </w:tcPr>
          <w:p w14:paraId="7F21308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提升设备</w:t>
            </w:r>
          </w:p>
        </w:tc>
        <w:tc>
          <w:tcPr>
            <w:tcW w:w="2934" w:type="dxa"/>
            <w:shd w:val="clear" w:color="auto" w:fill="auto"/>
            <w:vAlign w:val="center"/>
          </w:tcPr>
          <w:p w14:paraId="2340B385">
            <w:pPr>
              <w:keepNext w:val="0"/>
              <w:keepLines w:val="0"/>
              <w:widowControl/>
              <w:suppressLineNumbers w:val="0"/>
              <w:spacing w:line="240" w:lineRule="auto"/>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提升支座未可靠固定。</w:t>
            </w:r>
          </w:p>
        </w:tc>
        <w:tc>
          <w:tcPr>
            <w:tcW w:w="8150" w:type="dxa"/>
            <w:shd w:val="clear" w:color="auto" w:fill="auto"/>
            <w:vAlign w:val="center"/>
          </w:tcPr>
          <w:p w14:paraId="7F161107">
            <w:pPr>
              <w:keepNext w:val="0"/>
              <w:keepLines w:val="0"/>
              <w:widowControl/>
              <w:suppressLineNumbers w:val="0"/>
              <w:spacing w:line="240" w:lineRule="auto"/>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提升支座与建筑结构未可靠固定，建筑结构有开裂。</w:t>
            </w:r>
          </w:p>
        </w:tc>
        <w:tc>
          <w:tcPr>
            <w:tcW w:w="1900" w:type="dxa"/>
            <w:vMerge w:val="restart"/>
            <w:shd w:val="clear" w:color="auto" w:fill="auto"/>
            <w:vAlign w:val="center"/>
          </w:tcPr>
          <w:p w14:paraId="2E92B4B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1.安装（维保）单位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2.总包（使用）单位、监理单位</w:t>
            </w:r>
          </w:p>
        </w:tc>
      </w:tr>
      <w:tr w14:paraId="3D55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96" w:type="dxa"/>
            <w:vMerge w:val="continue"/>
            <w:shd w:val="clear" w:color="auto" w:fill="auto"/>
            <w:vAlign w:val="center"/>
          </w:tcPr>
          <w:p w14:paraId="39D47601">
            <w:pPr>
              <w:spacing w:line="240" w:lineRule="auto"/>
              <w:jc w:val="center"/>
              <w:rPr>
                <w:rFonts w:hint="eastAsia" w:ascii="宋体" w:hAnsi="宋体" w:eastAsia="宋体" w:cs="宋体"/>
                <w:i w:val="0"/>
                <w:iCs w:val="0"/>
                <w:color w:val="000000"/>
                <w:sz w:val="21"/>
                <w:szCs w:val="21"/>
                <w:u w:val="none"/>
              </w:rPr>
            </w:pPr>
          </w:p>
        </w:tc>
        <w:tc>
          <w:tcPr>
            <w:tcW w:w="666" w:type="dxa"/>
            <w:vMerge w:val="continue"/>
            <w:shd w:val="clear" w:color="auto" w:fill="auto"/>
            <w:vAlign w:val="center"/>
          </w:tcPr>
          <w:p w14:paraId="6641D711">
            <w:pPr>
              <w:spacing w:line="240" w:lineRule="auto"/>
              <w:jc w:val="center"/>
              <w:rPr>
                <w:rFonts w:hint="eastAsia" w:ascii="宋体" w:hAnsi="宋体" w:eastAsia="宋体" w:cs="宋体"/>
                <w:i w:val="0"/>
                <w:iCs w:val="0"/>
                <w:color w:val="000000"/>
                <w:sz w:val="21"/>
                <w:szCs w:val="21"/>
                <w:u w:val="none"/>
              </w:rPr>
            </w:pPr>
          </w:p>
        </w:tc>
        <w:tc>
          <w:tcPr>
            <w:tcW w:w="2934" w:type="dxa"/>
            <w:shd w:val="clear" w:color="auto" w:fill="auto"/>
            <w:vAlign w:val="center"/>
          </w:tcPr>
          <w:p w14:paraId="231D02E5">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吊钩存在明显裂纹、补焊现象。</w:t>
            </w:r>
          </w:p>
        </w:tc>
        <w:tc>
          <w:tcPr>
            <w:tcW w:w="8150" w:type="dxa"/>
            <w:shd w:val="clear" w:color="auto" w:fill="auto"/>
            <w:vAlign w:val="center"/>
          </w:tcPr>
          <w:p w14:paraId="7C1D824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吊钩存在焊接或可见裂纹；</w:t>
            </w:r>
            <w:r>
              <w:rPr>
                <w:rFonts w:hint="eastAsia" w:ascii="宋体" w:hAnsi="宋体" w:eastAsia="宋体" w:cs="宋体"/>
                <w:b w:val="0"/>
                <w:i w:val="0"/>
                <w:iCs w:val="0"/>
                <w:color w:val="000000"/>
                <w:kern w:val="0"/>
                <w:sz w:val="21"/>
                <w:szCs w:val="21"/>
                <w:u w:val="none"/>
                <w:lang w:val="en-US" w:eastAsia="zh-CN" w:bidi="ar"/>
              </w:rPr>
              <w:t>吊钩开口度比原尺寸增加10%；吊钩危险截面磨损量超过原高度10%；吊钩未设置吊索防脱装置。</w:t>
            </w:r>
          </w:p>
        </w:tc>
        <w:tc>
          <w:tcPr>
            <w:tcW w:w="1900" w:type="dxa"/>
            <w:vMerge w:val="continue"/>
            <w:shd w:val="clear" w:color="auto" w:fill="auto"/>
            <w:vAlign w:val="center"/>
          </w:tcPr>
          <w:p w14:paraId="74E35354">
            <w:pPr>
              <w:spacing w:line="240" w:lineRule="auto"/>
              <w:jc w:val="left"/>
              <w:rPr>
                <w:rFonts w:hint="eastAsia" w:ascii="宋体" w:hAnsi="宋体" w:eastAsia="宋体" w:cs="宋体"/>
                <w:i w:val="0"/>
                <w:iCs w:val="0"/>
                <w:color w:val="000000"/>
                <w:sz w:val="21"/>
                <w:szCs w:val="21"/>
                <w:u w:val="none"/>
              </w:rPr>
            </w:pPr>
          </w:p>
        </w:tc>
      </w:tr>
      <w:tr w14:paraId="15A7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96" w:type="dxa"/>
            <w:vMerge w:val="continue"/>
            <w:shd w:val="clear" w:color="auto" w:fill="auto"/>
            <w:vAlign w:val="center"/>
          </w:tcPr>
          <w:p w14:paraId="37BF27C2">
            <w:pPr>
              <w:spacing w:line="240" w:lineRule="auto"/>
              <w:jc w:val="center"/>
              <w:rPr>
                <w:rFonts w:hint="eastAsia" w:ascii="宋体" w:hAnsi="宋体" w:eastAsia="宋体" w:cs="宋体"/>
                <w:i w:val="0"/>
                <w:iCs w:val="0"/>
                <w:color w:val="000000"/>
                <w:sz w:val="21"/>
                <w:szCs w:val="21"/>
                <w:u w:val="none"/>
              </w:rPr>
            </w:pPr>
          </w:p>
        </w:tc>
        <w:tc>
          <w:tcPr>
            <w:tcW w:w="666" w:type="dxa"/>
            <w:vMerge w:val="continue"/>
            <w:shd w:val="clear" w:color="auto" w:fill="auto"/>
            <w:vAlign w:val="center"/>
          </w:tcPr>
          <w:p w14:paraId="4B17124E">
            <w:pPr>
              <w:spacing w:line="240" w:lineRule="auto"/>
              <w:jc w:val="center"/>
              <w:rPr>
                <w:rFonts w:hint="eastAsia" w:ascii="宋体" w:hAnsi="宋体" w:eastAsia="宋体" w:cs="宋体"/>
                <w:i w:val="0"/>
                <w:iCs w:val="0"/>
                <w:color w:val="000000"/>
                <w:sz w:val="21"/>
                <w:szCs w:val="21"/>
                <w:u w:val="none"/>
              </w:rPr>
            </w:pPr>
          </w:p>
        </w:tc>
        <w:tc>
          <w:tcPr>
            <w:tcW w:w="2934" w:type="dxa"/>
            <w:shd w:val="clear" w:color="auto" w:fill="auto"/>
            <w:vAlign w:val="center"/>
          </w:tcPr>
          <w:p w14:paraId="3669187E">
            <w:pPr>
              <w:keepNext w:val="0"/>
              <w:keepLines w:val="0"/>
              <w:widowControl/>
              <w:numPr>
                <w:ilvl w:val="0"/>
                <w:numId w:val="57"/>
              </w:numPr>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未设置同步控制装置；</w:t>
            </w:r>
          </w:p>
          <w:p w14:paraId="7424E50D">
            <w:pPr>
              <w:keepNext w:val="0"/>
              <w:keepLines w:val="0"/>
              <w:widowControl/>
              <w:numPr>
                <w:ilvl w:val="0"/>
                <w:numId w:val="57"/>
              </w:numPr>
              <w:suppressLineNumbers w:val="0"/>
              <w:spacing w:line="240" w:lineRule="auto"/>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无紧急停机功能。</w:t>
            </w:r>
          </w:p>
        </w:tc>
        <w:tc>
          <w:tcPr>
            <w:tcW w:w="8150" w:type="dxa"/>
            <w:shd w:val="clear" w:color="auto" w:fill="auto"/>
            <w:vAlign w:val="center"/>
          </w:tcPr>
          <w:p w14:paraId="3A3943DF">
            <w:pPr>
              <w:keepNext w:val="0"/>
              <w:keepLines w:val="0"/>
              <w:widowControl/>
              <w:numPr>
                <w:ilvl w:val="0"/>
                <w:numId w:val="58"/>
              </w:numPr>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未设置架体同步控制装置；</w:t>
            </w:r>
          </w:p>
          <w:p w14:paraId="0C16D72F">
            <w:pPr>
              <w:keepNext w:val="0"/>
              <w:keepLines w:val="0"/>
              <w:widowControl/>
              <w:numPr>
                <w:ilvl w:val="0"/>
                <w:numId w:val="58"/>
              </w:numPr>
              <w:suppressLineNumbers w:val="0"/>
              <w:spacing w:line="240" w:lineRule="auto"/>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未设置紧急停机功能。</w:t>
            </w:r>
          </w:p>
        </w:tc>
        <w:tc>
          <w:tcPr>
            <w:tcW w:w="1900" w:type="dxa"/>
            <w:vMerge w:val="continue"/>
            <w:shd w:val="clear" w:color="auto" w:fill="auto"/>
            <w:vAlign w:val="center"/>
          </w:tcPr>
          <w:p w14:paraId="6FE8D3A7">
            <w:pPr>
              <w:spacing w:line="240" w:lineRule="auto"/>
              <w:jc w:val="left"/>
              <w:rPr>
                <w:rFonts w:hint="eastAsia" w:ascii="宋体" w:hAnsi="宋体" w:eastAsia="宋体" w:cs="宋体"/>
                <w:i w:val="0"/>
                <w:iCs w:val="0"/>
                <w:color w:val="000000"/>
                <w:sz w:val="21"/>
                <w:szCs w:val="21"/>
                <w:u w:val="none"/>
              </w:rPr>
            </w:pPr>
          </w:p>
        </w:tc>
      </w:tr>
      <w:tr w14:paraId="1116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5" w:hRule="atLeast"/>
        </w:trPr>
        <w:tc>
          <w:tcPr>
            <w:tcW w:w="496" w:type="dxa"/>
            <w:vMerge w:val="continue"/>
            <w:shd w:val="clear" w:color="auto" w:fill="auto"/>
            <w:vAlign w:val="center"/>
          </w:tcPr>
          <w:p w14:paraId="1E7395D0">
            <w:pPr>
              <w:spacing w:line="240" w:lineRule="auto"/>
              <w:jc w:val="center"/>
              <w:rPr>
                <w:rFonts w:hint="eastAsia" w:ascii="宋体" w:hAnsi="宋体" w:eastAsia="宋体" w:cs="宋体"/>
                <w:i w:val="0"/>
                <w:iCs w:val="0"/>
                <w:color w:val="000000"/>
                <w:sz w:val="21"/>
                <w:szCs w:val="21"/>
                <w:u w:val="none"/>
              </w:rPr>
            </w:pPr>
          </w:p>
        </w:tc>
        <w:tc>
          <w:tcPr>
            <w:tcW w:w="666" w:type="dxa"/>
            <w:vMerge w:val="continue"/>
            <w:shd w:val="clear" w:color="auto" w:fill="auto"/>
            <w:vAlign w:val="center"/>
          </w:tcPr>
          <w:p w14:paraId="2F777674">
            <w:pPr>
              <w:spacing w:line="240" w:lineRule="auto"/>
              <w:jc w:val="center"/>
              <w:rPr>
                <w:rFonts w:hint="eastAsia" w:ascii="宋体" w:hAnsi="宋体" w:eastAsia="宋体" w:cs="宋体"/>
                <w:i w:val="0"/>
                <w:iCs w:val="0"/>
                <w:color w:val="000000"/>
                <w:sz w:val="21"/>
                <w:szCs w:val="21"/>
                <w:u w:val="none"/>
              </w:rPr>
            </w:pPr>
          </w:p>
        </w:tc>
        <w:tc>
          <w:tcPr>
            <w:tcW w:w="2934" w:type="dxa"/>
            <w:shd w:val="clear" w:color="auto" w:fill="auto"/>
            <w:vAlign w:val="center"/>
          </w:tcPr>
          <w:p w14:paraId="3887E6D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1、钢丝绳达到报废标准；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2、绳端固定不符合要求。</w:t>
            </w:r>
          </w:p>
        </w:tc>
        <w:tc>
          <w:tcPr>
            <w:tcW w:w="8150" w:type="dxa"/>
            <w:shd w:val="clear" w:color="auto" w:fill="auto"/>
            <w:vAlign w:val="top"/>
          </w:tcPr>
          <w:p w14:paraId="4FE9C80C">
            <w:pPr>
              <w:keepNext w:val="0"/>
              <w:keepLines w:val="0"/>
              <w:widowControl/>
              <w:suppressLineNumbers w:val="0"/>
              <w:spacing w:line="240" w:lineRule="auto"/>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eastAsia="宋体" w:cs="宋体"/>
                <w:b w:val="0"/>
                <w:i w:val="0"/>
                <w:iCs w:val="0"/>
                <w:color w:val="000000"/>
                <w:kern w:val="0"/>
                <w:sz w:val="21"/>
                <w:szCs w:val="21"/>
                <w:u w:val="none"/>
                <w:lang w:val="en-US" w:eastAsia="zh-CN" w:bidi="ar"/>
              </w:rPr>
              <w:t>钢丝绳达到GB/T 5972-2023规定的报废标准</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2、钢丝绳</w:t>
            </w:r>
            <w:r>
              <w:rPr>
                <w:rFonts w:hint="eastAsia" w:ascii="宋体" w:hAnsi="宋体" w:eastAsia="宋体" w:cs="宋体"/>
                <w:b w:val="0"/>
                <w:i w:val="0"/>
                <w:iCs w:val="0"/>
                <w:color w:val="000000"/>
                <w:kern w:val="0"/>
                <w:sz w:val="21"/>
                <w:szCs w:val="21"/>
                <w:u w:val="none"/>
                <w:lang w:val="en-US" w:eastAsia="zh-CN" w:bidi="ar"/>
              </w:rPr>
              <w:t>用绳夹固定时，全部马鞍型夹座未安装在受力绳一侧，各绳夹间距小于2倍大于5倍钢丝绳直径，绳夹数：直径≤18mm时少于2个；直径＞18～26mm时少于3个。</w:t>
            </w:r>
          </w:p>
        </w:tc>
        <w:tc>
          <w:tcPr>
            <w:tcW w:w="1900" w:type="dxa"/>
            <w:vMerge w:val="continue"/>
            <w:shd w:val="clear" w:color="auto" w:fill="auto"/>
            <w:vAlign w:val="center"/>
          </w:tcPr>
          <w:p w14:paraId="3CBA8067">
            <w:pPr>
              <w:spacing w:line="240" w:lineRule="auto"/>
              <w:jc w:val="left"/>
              <w:rPr>
                <w:rFonts w:hint="eastAsia" w:ascii="宋体" w:hAnsi="宋体" w:eastAsia="宋体" w:cs="宋体"/>
                <w:i w:val="0"/>
                <w:iCs w:val="0"/>
                <w:color w:val="000000"/>
                <w:sz w:val="21"/>
                <w:szCs w:val="21"/>
                <w:u w:val="none"/>
              </w:rPr>
            </w:pPr>
          </w:p>
        </w:tc>
      </w:tr>
    </w:tbl>
    <w:p w14:paraId="7A17F398">
      <w:pPr>
        <w:pStyle w:val="4"/>
        <w:rPr>
          <w:rFonts w:hint="default"/>
          <w:lang w:val="en-US" w:eastAsia="zh-CN"/>
        </w:rPr>
      </w:pPr>
    </w:p>
    <w:p w14:paraId="1160C294">
      <w:pPr>
        <w:pStyle w:val="4"/>
        <w:rPr>
          <w:rFonts w:hint="default"/>
          <w:lang w:val="en-US" w:eastAsia="zh-CN"/>
        </w:rPr>
      </w:pPr>
    </w:p>
    <w:p w14:paraId="14FC4F7A">
      <w:pPr>
        <w:pStyle w:val="4"/>
        <w:rPr>
          <w:rFonts w:hint="default"/>
          <w:lang w:val="en-US" w:eastAsia="zh-CN"/>
        </w:rPr>
      </w:pPr>
    </w:p>
    <w:p w14:paraId="1DBBF8B8">
      <w:pPr>
        <w:pStyle w:val="4"/>
        <w:ind w:left="0" w:leftChars="0" w:firstLine="0" w:firstLineChars="0"/>
        <w:rPr>
          <w:rFonts w:hint="default"/>
          <w:lang w:val="en-US" w:eastAsia="zh-CN"/>
        </w:rPr>
        <w:sectPr>
          <w:pgSz w:w="16838" w:h="11906" w:orient="landscape"/>
          <w:pgMar w:top="840" w:right="1440" w:bottom="541" w:left="1440" w:header="851" w:footer="992" w:gutter="0"/>
          <w:pgBorders>
            <w:top w:val="none" w:sz="0" w:space="0"/>
            <w:left w:val="none" w:sz="0" w:space="0"/>
            <w:bottom w:val="none" w:sz="0" w:space="0"/>
            <w:right w:val="none" w:sz="0" w:space="0"/>
          </w:pgBorders>
          <w:cols w:space="425" w:num="1"/>
          <w:docGrid w:type="lines" w:linePitch="312" w:charSpace="0"/>
        </w:sectPr>
      </w:pPr>
    </w:p>
    <w:p w14:paraId="34A5C9FE">
      <w:pPr>
        <w:keepNext w:val="0"/>
        <w:keepLines w:val="0"/>
        <w:pageBreakBefore w:val="0"/>
        <w:widowControl w:val="0"/>
        <w:numPr>
          <w:ilvl w:val="0"/>
          <w:numId w:val="0"/>
        </w:numPr>
        <w:kinsoku/>
        <w:wordWrap/>
        <w:overflowPunct/>
        <w:topLinePunct w:val="0"/>
        <w:autoSpaceDE/>
        <w:autoSpaceDN/>
        <w:bidi w:val="0"/>
        <w:adjustRightInd/>
        <w:snapToGrid w:val="0"/>
        <w:ind w:left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7.检查意见书</w:t>
      </w:r>
    </w:p>
    <w:p w14:paraId="21573717">
      <w:pPr>
        <w:ind w:left="86" w:leftChars="27" w:right="-721" w:firstLine="266" w:firstLineChars="148"/>
        <w:rPr>
          <w:rFonts w:hint="eastAsia" w:ascii="宋体" w:hAnsi="宋体" w:eastAsia="宋体" w:cs="宋体"/>
          <w:position w:val="6"/>
          <w:sz w:val="18"/>
          <w:szCs w:val="18"/>
        </w:rPr>
      </w:pPr>
      <w:r>
        <w:rPr>
          <w:rFonts w:hint="eastAsia" w:ascii="宋体" w:hAnsi="宋体" w:eastAsia="宋体" w:cs="宋体"/>
          <w:position w:val="6"/>
          <w:sz w:val="18"/>
          <w:szCs w:val="18"/>
          <w:lang w:val="en-US" w:eastAsia="zh-CN"/>
        </w:rPr>
        <w:t>意见书</w:t>
      </w:r>
      <w:r>
        <w:rPr>
          <w:rFonts w:hint="eastAsia" w:ascii="宋体" w:hAnsi="宋体" w:eastAsia="宋体" w:cs="宋体"/>
          <w:position w:val="6"/>
          <w:sz w:val="18"/>
          <w:szCs w:val="18"/>
        </w:rPr>
        <w:t xml:space="preserve">编号：                                                                      </w:t>
      </w:r>
    </w:p>
    <w:tbl>
      <w:tblPr>
        <w:tblStyle w:val="16"/>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660"/>
        <w:gridCol w:w="504"/>
        <w:gridCol w:w="3516"/>
        <w:gridCol w:w="924"/>
        <w:gridCol w:w="432"/>
        <w:gridCol w:w="972"/>
        <w:gridCol w:w="2388"/>
      </w:tblGrid>
      <w:tr w14:paraId="7857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123" w:type="dxa"/>
            <w:gridSpan w:val="2"/>
            <w:noWrap w:val="0"/>
            <w:vAlign w:val="center"/>
          </w:tcPr>
          <w:p w14:paraId="5E9E4553">
            <w:pPr>
              <w:jc w:val="center"/>
              <w:rPr>
                <w:rFonts w:hint="eastAsia" w:ascii="宋体" w:hAnsi="宋体" w:eastAsia="宋体" w:cs="宋体"/>
                <w:position w:val="6"/>
                <w:sz w:val="18"/>
                <w:szCs w:val="18"/>
                <w:lang w:val="en-US" w:eastAsia="zh-CN"/>
              </w:rPr>
            </w:pPr>
            <w:r>
              <w:rPr>
                <w:rFonts w:hint="eastAsia" w:ascii="宋体" w:hAnsi="宋体" w:eastAsia="宋体" w:cs="宋体"/>
                <w:position w:val="6"/>
                <w:sz w:val="18"/>
                <w:szCs w:val="18"/>
                <w:lang w:val="en-US" w:eastAsia="zh-CN"/>
              </w:rPr>
              <w:t>委托单位</w:t>
            </w:r>
          </w:p>
        </w:tc>
        <w:tc>
          <w:tcPr>
            <w:tcW w:w="4020" w:type="dxa"/>
            <w:gridSpan w:val="2"/>
            <w:noWrap w:val="0"/>
            <w:vAlign w:val="center"/>
          </w:tcPr>
          <w:p w14:paraId="6F14C25F">
            <w:pPr>
              <w:jc w:val="center"/>
              <w:rPr>
                <w:rFonts w:hint="eastAsia" w:ascii="宋体" w:hAnsi="宋体" w:eastAsia="宋体" w:cs="宋体"/>
                <w:w w:val="80"/>
                <w:position w:val="6"/>
                <w:sz w:val="18"/>
                <w:szCs w:val="18"/>
              </w:rPr>
            </w:pPr>
          </w:p>
        </w:tc>
        <w:tc>
          <w:tcPr>
            <w:tcW w:w="1356" w:type="dxa"/>
            <w:gridSpan w:val="2"/>
            <w:noWrap w:val="0"/>
            <w:vAlign w:val="center"/>
          </w:tcPr>
          <w:p w14:paraId="2330CE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6"/>
                <w:sz w:val="18"/>
                <w:szCs w:val="18"/>
                <w:lang w:val="en-US" w:eastAsia="zh-CN"/>
              </w:rPr>
            </w:pPr>
            <w:r>
              <w:rPr>
                <w:rFonts w:hint="eastAsia" w:ascii="宋体" w:hAnsi="宋体" w:eastAsia="宋体" w:cs="宋体"/>
                <w:position w:val="6"/>
                <w:sz w:val="18"/>
                <w:szCs w:val="18"/>
                <w:lang w:val="en-US" w:eastAsia="zh-CN"/>
              </w:rPr>
              <w:t>第三方单位</w:t>
            </w:r>
          </w:p>
          <w:p w14:paraId="720B32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6"/>
                <w:sz w:val="18"/>
                <w:szCs w:val="18"/>
                <w:lang w:val="en-US" w:eastAsia="zh-CN"/>
              </w:rPr>
            </w:pPr>
            <w:r>
              <w:rPr>
                <w:rFonts w:hint="eastAsia" w:ascii="宋体" w:hAnsi="宋体" w:eastAsia="宋体" w:cs="宋体"/>
                <w:position w:val="6"/>
                <w:sz w:val="18"/>
                <w:szCs w:val="18"/>
                <w:lang w:val="en-US" w:eastAsia="zh-CN"/>
              </w:rPr>
              <w:t>（盖章）</w:t>
            </w:r>
          </w:p>
        </w:tc>
        <w:tc>
          <w:tcPr>
            <w:tcW w:w="3360" w:type="dxa"/>
            <w:gridSpan w:val="2"/>
            <w:noWrap w:val="0"/>
            <w:vAlign w:val="center"/>
          </w:tcPr>
          <w:p w14:paraId="660E3C3D">
            <w:pPr>
              <w:jc w:val="center"/>
              <w:rPr>
                <w:rFonts w:hint="eastAsia" w:ascii="宋体" w:hAnsi="宋体" w:eastAsia="宋体" w:cs="宋体"/>
                <w:position w:val="6"/>
                <w:sz w:val="18"/>
                <w:szCs w:val="18"/>
              </w:rPr>
            </w:pPr>
          </w:p>
        </w:tc>
      </w:tr>
      <w:tr w14:paraId="7B63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23" w:type="dxa"/>
            <w:gridSpan w:val="2"/>
            <w:noWrap w:val="0"/>
            <w:vAlign w:val="center"/>
          </w:tcPr>
          <w:p w14:paraId="32ADE4C1">
            <w:pPr>
              <w:jc w:val="center"/>
              <w:rPr>
                <w:rFonts w:hint="eastAsia" w:ascii="宋体" w:hAnsi="宋体" w:eastAsia="宋体" w:cs="宋体"/>
                <w:kern w:val="2"/>
                <w:position w:val="6"/>
                <w:sz w:val="18"/>
                <w:szCs w:val="18"/>
                <w:lang w:val="en-US" w:eastAsia="zh-CN" w:bidi="ar-SA"/>
              </w:rPr>
            </w:pPr>
            <w:r>
              <w:rPr>
                <w:rFonts w:hint="eastAsia" w:ascii="宋体" w:hAnsi="宋体" w:eastAsia="宋体" w:cs="宋体"/>
                <w:position w:val="6"/>
                <w:sz w:val="18"/>
                <w:szCs w:val="18"/>
                <w:lang w:val="en-US" w:eastAsia="zh-CN"/>
              </w:rPr>
              <w:t>工程名称</w:t>
            </w:r>
          </w:p>
        </w:tc>
        <w:tc>
          <w:tcPr>
            <w:tcW w:w="4020" w:type="dxa"/>
            <w:gridSpan w:val="2"/>
            <w:noWrap w:val="0"/>
            <w:vAlign w:val="center"/>
          </w:tcPr>
          <w:p w14:paraId="54BCD8E7">
            <w:pPr>
              <w:jc w:val="center"/>
              <w:rPr>
                <w:rFonts w:hint="eastAsia" w:ascii="宋体" w:hAnsi="宋体" w:eastAsia="宋体" w:cs="宋体"/>
                <w:w w:val="80"/>
                <w:kern w:val="2"/>
                <w:position w:val="6"/>
                <w:sz w:val="18"/>
                <w:szCs w:val="18"/>
                <w:lang w:val="en-US" w:eastAsia="zh-CN" w:bidi="ar-SA"/>
              </w:rPr>
            </w:pPr>
          </w:p>
        </w:tc>
        <w:tc>
          <w:tcPr>
            <w:tcW w:w="1356" w:type="dxa"/>
            <w:gridSpan w:val="2"/>
            <w:noWrap w:val="0"/>
            <w:vAlign w:val="center"/>
          </w:tcPr>
          <w:p w14:paraId="3557CBE1">
            <w:pPr>
              <w:jc w:val="center"/>
              <w:rPr>
                <w:rFonts w:hint="eastAsia" w:ascii="宋体" w:hAnsi="宋体" w:eastAsia="宋体" w:cs="宋体"/>
                <w:kern w:val="2"/>
                <w:position w:val="6"/>
                <w:sz w:val="18"/>
                <w:szCs w:val="18"/>
                <w:lang w:val="en-US" w:eastAsia="zh-CN" w:bidi="ar-SA"/>
              </w:rPr>
            </w:pPr>
            <w:r>
              <w:rPr>
                <w:rFonts w:hint="eastAsia" w:ascii="宋体" w:hAnsi="宋体" w:eastAsia="宋体" w:cs="宋体"/>
                <w:position w:val="6"/>
                <w:sz w:val="18"/>
                <w:szCs w:val="18"/>
                <w:lang w:val="en-US" w:eastAsia="zh-CN"/>
              </w:rPr>
              <w:t>产权单位</w:t>
            </w:r>
          </w:p>
        </w:tc>
        <w:tc>
          <w:tcPr>
            <w:tcW w:w="3360" w:type="dxa"/>
            <w:gridSpan w:val="2"/>
            <w:noWrap w:val="0"/>
            <w:vAlign w:val="center"/>
          </w:tcPr>
          <w:p w14:paraId="366D8FD0">
            <w:pPr>
              <w:jc w:val="center"/>
              <w:rPr>
                <w:rFonts w:hint="eastAsia" w:ascii="宋体" w:hAnsi="宋体" w:eastAsia="宋体" w:cs="宋体"/>
                <w:position w:val="6"/>
                <w:sz w:val="18"/>
                <w:szCs w:val="18"/>
              </w:rPr>
            </w:pPr>
          </w:p>
        </w:tc>
      </w:tr>
      <w:tr w14:paraId="5DF2E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23" w:type="dxa"/>
            <w:gridSpan w:val="2"/>
            <w:noWrap w:val="0"/>
            <w:vAlign w:val="center"/>
          </w:tcPr>
          <w:p w14:paraId="3EABD9C6">
            <w:pPr>
              <w:jc w:val="center"/>
              <w:rPr>
                <w:rFonts w:hint="eastAsia" w:ascii="宋体" w:hAnsi="宋体" w:eastAsia="宋体" w:cs="宋体"/>
                <w:position w:val="6"/>
                <w:sz w:val="18"/>
                <w:szCs w:val="18"/>
                <w:lang w:val="en-US" w:eastAsia="zh-CN"/>
              </w:rPr>
            </w:pPr>
            <w:r>
              <w:rPr>
                <w:rFonts w:hint="eastAsia" w:ascii="宋体" w:hAnsi="宋体" w:eastAsia="宋体" w:cs="宋体"/>
                <w:position w:val="6"/>
                <w:sz w:val="18"/>
                <w:szCs w:val="18"/>
                <w:lang w:val="en-US" w:eastAsia="zh-CN"/>
              </w:rPr>
              <w:t>使用单位</w:t>
            </w:r>
          </w:p>
        </w:tc>
        <w:tc>
          <w:tcPr>
            <w:tcW w:w="4020" w:type="dxa"/>
            <w:gridSpan w:val="2"/>
            <w:noWrap w:val="0"/>
            <w:vAlign w:val="center"/>
          </w:tcPr>
          <w:p w14:paraId="1671DC80">
            <w:pPr>
              <w:jc w:val="center"/>
              <w:rPr>
                <w:rFonts w:hint="eastAsia" w:ascii="宋体" w:hAnsi="宋体" w:eastAsia="宋体" w:cs="宋体"/>
                <w:position w:val="6"/>
                <w:sz w:val="18"/>
                <w:szCs w:val="18"/>
              </w:rPr>
            </w:pPr>
          </w:p>
        </w:tc>
        <w:tc>
          <w:tcPr>
            <w:tcW w:w="1356" w:type="dxa"/>
            <w:gridSpan w:val="2"/>
            <w:noWrap w:val="0"/>
            <w:vAlign w:val="center"/>
          </w:tcPr>
          <w:p w14:paraId="6E3FEC26">
            <w:pPr>
              <w:jc w:val="center"/>
              <w:rPr>
                <w:rFonts w:hint="eastAsia" w:ascii="宋体" w:hAnsi="宋体" w:eastAsia="宋体" w:cs="宋体"/>
                <w:position w:val="6"/>
                <w:sz w:val="18"/>
                <w:szCs w:val="18"/>
                <w:lang w:val="en-US" w:eastAsia="zh-CN"/>
              </w:rPr>
            </w:pPr>
            <w:r>
              <w:rPr>
                <w:rFonts w:hint="eastAsia" w:ascii="宋体" w:hAnsi="宋体" w:eastAsia="宋体" w:cs="宋体"/>
                <w:position w:val="6"/>
                <w:sz w:val="18"/>
                <w:szCs w:val="18"/>
                <w:lang w:val="en-US" w:eastAsia="zh-CN"/>
              </w:rPr>
              <w:t>维保单位</w:t>
            </w:r>
          </w:p>
        </w:tc>
        <w:tc>
          <w:tcPr>
            <w:tcW w:w="3360" w:type="dxa"/>
            <w:gridSpan w:val="2"/>
            <w:noWrap w:val="0"/>
            <w:vAlign w:val="center"/>
          </w:tcPr>
          <w:p w14:paraId="5CD92C4F">
            <w:pPr>
              <w:jc w:val="center"/>
              <w:rPr>
                <w:rFonts w:hint="eastAsia" w:ascii="宋体" w:hAnsi="宋体" w:eastAsia="宋体" w:cs="宋体"/>
                <w:position w:val="6"/>
                <w:sz w:val="18"/>
                <w:szCs w:val="18"/>
              </w:rPr>
            </w:pPr>
          </w:p>
        </w:tc>
      </w:tr>
      <w:tr w14:paraId="64B6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23" w:type="dxa"/>
            <w:gridSpan w:val="2"/>
            <w:noWrap w:val="0"/>
            <w:vAlign w:val="center"/>
          </w:tcPr>
          <w:p w14:paraId="6DE7836F">
            <w:pPr>
              <w:jc w:val="center"/>
              <w:rPr>
                <w:rFonts w:hint="eastAsia" w:ascii="宋体" w:hAnsi="宋体" w:eastAsia="宋体" w:cs="宋体"/>
                <w:position w:val="6"/>
                <w:sz w:val="18"/>
                <w:szCs w:val="18"/>
                <w:lang w:val="en-US" w:eastAsia="zh-CN"/>
              </w:rPr>
            </w:pPr>
            <w:r>
              <w:rPr>
                <w:rFonts w:hint="eastAsia" w:ascii="宋体" w:hAnsi="宋体" w:eastAsia="宋体" w:cs="宋体"/>
                <w:position w:val="6"/>
                <w:sz w:val="18"/>
                <w:szCs w:val="18"/>
                <w:lang w:val="en-US" w:eastAsia="zh-CN"/>
              </w:rPr>
              <w:t>监理单位</w:t>
            </w:r>
          </w:p>
        </w:tc>
        <w:tc>
          <w:tcPr>
            <w:tcW w:w="4020" w:type="dxa"/>
            <w:gridSpan w:val="2"/>
            <w:noWrap w:val="0"/>
            <w:vAlign w:val="center"/>
          </w:tcPr>
          <w:p w14:paraId="7D4EC2DE">
            <w:pPr>
              <w:jc w:val="center"/>
              <w:rPr>
                <w:rFonts w:hint="eastAsia" w:ascii="宋体" w:hAnsi="宋体" w:eastAsia="宋体" w:cs="宋体"/>
                <w:position w:val="6"/>
                <w:sz w:val="18"/>
                <w:szCs w:val="18"/>
              </w:rPr>
            </w:pPr>
          </w:p>
        </w:tc>
        <w:tc>
          <w:tcPr>
            <w:tcW w:w="1356" w:type="dxa"/>
            <w:gridSpan w:val="2"/>
            <w:noWrap w:val="0"/>
            <w:vAlign w:val="center"/>
          </w:tcPr>
          <w:p w14:paraId="69E12516">
            <w:pPr>
              <w:jc w:val="center"/>
              <w:rPr>
                <w:rFonts w:hint="eastAsia" w:ascii="宋体" w:hAnsi="宋体" w:eastAsia="宋体" w:cs="宋体"/>
                <w:position w:val="6"/>
                <w:sz w:val="18"/>
                <w:szCs w:val="18"/>
                <w:lang w:val="en-US" w:eastAsia="zh-CN"/>
              </w:rPr>
            </w:pPr>
            <w:r>
              <w:rPr>
                <w:rFonts w:hint="eastAsia" w:ascii="宋体" w:hAnsi="宋体" w:eastAsia="宋体" w:cs="宋体"/>
                <w:position w:val="6"/>
                <w:sz w:val="18"/>
                <w:szCs w:val="18"/>
                <w:lang w:val="en-US" w:eastAsia="zh-CN"/>
              </w:rPr>
              <w:t>安装单位</w:t>
            </w:r>
          </w:p>
        </w:tc>
        <w:tc>
          <w:tcPr>
            <w:tcW w:w="3360" w:type="dxa"/>
            <w:gridSpan w:val="2"/>
            <w:noWrap w:val="0"/>
            <w:vAlign w:val="center"/>
          </w:tcPr>
          <w:p w14:paraId="7F8197E7">
            <w:pPr>
              <w:jc w:val="center"/>
              <w:rPr>
                <w:rFonts w:hint="eastAsia" w:ascii="宋体" w:hAnsi="宋体" w:eastAsia="宋体" w:cs="宋体"/>
                <w:position w:val="6"/>
                <w:sz w:val="18"/>
                <w:szCs w:val="18"/>
              </w:rPr>
            </w:pPr>
          </w:p>
        </w:tc>
      </w:tr>
      <w:tr w14:paraId="2B625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123" w:type="dxa"/>
            <w:gridSpan w:val="2"/>
            <w:noWrap w:val="0"/>
            <w:vAlign w:val="center"/>
          </w:tcPr>
          <w:p w14:paraId="07355CE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position w:val="6"/>
                <w:sz w:val="18"/>
                <w:szCs w:val="18"/>
                <w:lang w:val="en-US" w:eastAsia="zh-CN"/>
              </w:rPr>
            </w:pPr>
            <w:r>
              <w:rPr>
                <w:rFonts w:hint="eastAsia" w:ascii="宋体" w:hAnsi="宋体" w:eastAsia="宋体" w:cs="宋体"/>
                <w:position w:val="6"/>
                <w:sz w:val="18"/>
                <w:szCs w:val="18"/>
                <w:lang w:val="en-US" w:eastAsia="zh-CN"/>
              </w:rPr>
              <w:t>受检设备名称数量</w:t>
            </w:r>
          </w:p>
        </w:tc>
        <w:tc>
          <w:tcPr>
            <w:tcW w:w="8736" w:type="dxa"/>
            <w:gridSpan w:val="6"/>
            <w:noWrap w:val="0"/>
            <w:vAlign w:val="center"/>
          </w:tcPr>
          <w:p w14:paraId="15BF712D">
            <w:pPr>
              <w:jc w:val="both"/>
              <w:rPr>
                <w:rFonts w:hint="eastAsia" w:ascii="宋体" w:hAnsi="宋体" w:eastAsia="宋体" w:cs="宋体"/>
                <w:position w:val="6"/>
                <w:sz w:val="18"/>
                <w:szCs w:val="18"/>
                <w:lang w:val="en-US" w:eastAsia="zh-CN"/>
              </w:rPr>
            </w:pPr>
            <w:r>
              <w:rPr>
                <w:rFonts w:hint="eastAsia" w:ascii="宋体" w:hAnsi="宋体" w:eastAsia="宋体" w:cs="宋体"/>
                <w:position w:val="6"/>
                <w:sz w:val="18"/>
                <w:szCs w:val="18"/>
                <w:lang w:val="en-US" w:eastAsia="zh-CN"/>
              </w:rPr>
              <w:sym w:font="Wingdings 2" w:char="00A3"/>
            </w:r>
            <w:r>
              <w:rPr>
                <w:rFonts w:hint="eastAsia" w:ascii="宋体" w:hAnsi="宋体" w:eastAsia="宋体" w:cs="宋体"/>
                <w:position w:val="6"/>
                <w:sz w:val="18"/>
                <w:szCs w:val="18"/>
                <w:lang w:val="en-US" w:eastAsia="zh-CN"/>
              </w:rPr>
              <w:t xml:space="preserve">塔式起重机    台；   </w:t>
            </w:r>
            <w:r>
              <w:rPr>
                <w:rFonts w:hint="eastAsia" w:ascii="宋体" w:hAnsi="宋体" w:eastAsia="宋体" w:cs="宋体"/>
                <w:position w:val="6"/>
                <w:sz w:val="18"/>
                <w:szCs w:val="18"/>
                <w:lang w:val="en-US" w:eastAsia="zh-CN"/>
              </w:rPr>
              <w:sym w:font="Wingdings 2" w:char="00A3"/>
            </w:r>
            <w:r>
              <w:rPr>
                <w:rFonts w:hint="eastAsia" w:ascii="宋体" w:hAnsi="宋体" w:eastAsia="宋体" w:cs="宋体"/>
                <w:position w:val="6"/>
                <w:sz w:val="18"/>
                <w:szCs w:val="18"/>
                <w:lang w:val="en-US" w:eastAsia="zh-CN"/>
              </w:rPr>
              <w:t xml:space="preserve">施工升降机     台；    </w:t>
            </w:r>
            <w:r>
              <w:rPr>
                <w:rFonts w:hint="eastAsia" w:ascii="宋体" w:hAnsi="宋体" w:eastAsia="宋体" w:cs="宋体"/>
                <w:position w:val="6"/>
                <w:sz w:val="18"/>
                <w:szCs w:val="18"/>
                <w:lang w:val="en-US" w:eastAsia="zh-CN"/>
              </w:rPr>
              <w:sym w:font="Wingdings 2" w:char="00A3"/>
            </w:r>
            <w:r>
              <w:rPr>
                <w:rFonts w:hint="eastAsia" w:ascii="宋体" w:hAnsi="宋体" w:eastAsia="宋体" w:cs="宋体"/>
                <w:position w:val="6"/>
                <w:sz w:val="18"/>
                <w:szCs w:val="18"/>
                <w:lang w:val="en-US" w:eastAsia="zh-CN"/>
              </w:rPr>
              <w:t xml:space="preserve">货用升降机    台；   </w:t>
            </w:r>
            <w:r>
              <w:rPr>
                <w:rFonts w:hint="eastAsia" w:ascii="宋体" w:hAnsi="宋体" w:eastAsia="宋体" w:cs="宋体"/>
                <w:position w:val="6"/>
                <w:sz w:val="18"/>
                <w:szCs w:val="18"/>
                <w:lang w:val="en-US" w:eastAsia="zh-CN"/>
              </w:rPr>
              <w:sym w:font="Wingdings 2" w:char="00A3"/>
            </w:r>
            <w:r>
              <w:rPr>
                <w:rFonts w:hint="eastAsia" w:ascii="宋体" w:hAnsi="宋体" w:eastAsia="宋体" w:cs="宋体"/>
                <w:position w:val="6"/>
                <w:sz w:val="18"/>
                <w:szCs w:val="18"/>
                <w:lang w:val="en-US" w:eastAsia="zh-CN"/>
              </w:rPr>
              <w:t>高处作业吊篮     台</w:t>
            </w:r>
          </w:p>
          <w:p w14:paraId="34BB7BCB">
            <w:pPr>
              <w:jc w:val="both"/>
              <w:rPr>
                <w:rFonts w:hint="eastAsia" w:ascii="宋体" w:hAnsi="宋体" w:eastAsia="宋体" w:cs="宋体"/>
                <w:position w:val="6"/>
                <w:sz w:val="18"/>
                <w:szCs w:val="18"/>
                <w:lang w:val="en-US" w:eastAsia="zh-CN"/>
              </w:rPr>
            </w:pPr>
            <w:r>
              <w:rPr>
                <w:rFonts w:hint="eastAsia" w:ascii="宋体" w:hAnsi="宋体" w:eastAsia="宋体" w:cs="宋体"/>
                <w:position w:val="6"/>
                <w:sz w:val="18"/>
                <w:szCs w:val="18"/>
                <w:lang w:val="en-US" w:eastAsia="zh-CN"/>
              </w:rPr>
              <w:sym w:font="Wingdings 2" w:char="00A3"/>
            </w:r>
            <w:r>
              <w:rPr>
                <w:rFonts w:hint="eastAsia" w:ascii="宋体" w:hAnsi="宋体" w:eastAsia="宋体" w:cs="宋体"/>
                <w:position w:val="6"/>
                <w:sz w:val="18"/>
                <w:szCs w:val="18"/>
                <w:lang w:val="en-US" w:eastAsia="zh-CN"/>
              </w:rPr>
              <w:t xml:space="preserve">汽车起重机    台；   </w:t>
            </w:r>
            <w:r>
              <w:rPr>
                <w:rFonts w:hint="eastAsia" w:ascii="宋体" w:hAnsi="宋体" w:eastAsia="宋体" w:cs="宋体"/>
                <w:position w:val="6"/>
                <w:sz w:val="18"/>
                <w:szCs w:val="18"/>
                <w:lang w:val="en-US" w:eastAsia="zh-CN"/>
              </w:rPr>
              <w:sym w:font="Wingdings 2" w:char="00A3"/>
            </w:r>
            <w:r>
              <w:rPr>
                <w:rFonts w:hint="eastAsia" w:ascii="宋体" w:hAnsi="宋体" w:eastAsia="宋体" w:cs="宋体"/>
                <w:position w:val="6"/>
                <w:sz w:val="18"/>
                <w:szCs w:val="18"/>
                <w:lang w:val="en-US" w:eastAsia="zh-CN"/>
              </w:rPr>
              <w:t xml:space="preserve">履带起重机     台；    </w:t>
            </w:r>
            <w:r>
              <w:rPr>
                <w:rFonts w:hint="eastAsia" w:ascii="宋体" w:hAnsi="宋体" w:eastAsia="宋体" w:cs="宋体"/>
                <w:position w:val="6"/>
                <w:sz w:val="18"/>
                <w:szCs w:val="18"/>
                <w:lang w:val="en-US" w:eastAsia="zh-CN"/>
              </w:rPr>
              <w:sym w:font="Wingdings 2" w:char="00A3"/>
            </w:r>
            <w:r>
              <w:rPr>
                <w:rFonts w:hint="eastAsia" w:ascii="宋体" w:hAnsi="宋体" w:eastAsia="宋体" w:cs="宋体"/>
                <w:position w:val="6"/>
                <w:sz w:val="18"/>
                <w:szCs w:val="18"/>
                <w:lang w:val="en-US" w:eastAsia="zh-CN"/>
              </w:rPr>
              <w:t xml:space="preserve">门式起重机   台：    </w:t>
            </w:r>
            <w:r>
              <w:rPr>
                <w:rFonts w:hint="eastAsia" w:ascii="宋体" w:hAnsi="宋体" w:eastAsia="宋体" w:cs="宋体"/>
                <w:position w:val="6"/>
                <w:sz w:val="18"/>
                <w:szCs w:val="18"/>
                <w:lang w:val="en-US" w:eastAsia="zh-CN"/>
              </w:rPr>
              <w:sym w:font="Wingdings 2" w:char="00A3"/>
            </w:r>
            <w:r>
              <w:rPr>
                <w:rFonts w:hint="eastAsia" w:ascii="宋体" w:hAnsi="宋体" w:eastAsia="宋体" w:cs="宋体"/>
                <w:position w:val="6"/>
                <w:sz w:val="18"/>
                <w:szCs w:val="18"/>
                <w:lang w:val="en-US" w:eastAsia="zh-CN"/>
              </w:rPr>
              <w:t xml:space="preserve">                 台</w:t>
            </w:r>
          </w:p>
        </w:tc>
      </w:tr>
      <w:tr w14:paraId="7E635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859" w:type="dxa"/>
            <w:gridSpan w:val="8"/>
            <w:noWrap w:val="0"/>
            <w:vAlign w:val="center"/>
          </w:tcPr>
          <w:p w14:paraId="03C752EB">
            <w:pPr>
              <w:tabs>
                <w:tab w:val="left" w:pos="3943"/>
              </w:tabs>
              <w:jc w:val="both"/>
              <w:rPr>
                <w:rFonts w:hint="eastAsia" w:ascii="宋体" w:hAnsi="宋体" w:eastAsia="宋体" w:cs="宋体"/>
                <w:position w:val="6"/>
                <w:sz w:val="18"/>
                <w:szCs w:val="18"/>
                <w:lang w:val="en-US" w:eastAsia="zh-CN"/>
              </w:rPr>
            </w:pPr>
            <w:r>
              <w:rPr>
                <w:rFonts w:hint="eastAsia" w:ascii="宋体" w:hAnsi="宋体" w:eastAsia="宋体" w:cs="宋体"/>
                <w:position w:val="6"/>
                <w:sz w:val="18"/>
                <w:szCs w:val="18"/>
                <w:lang w:val="en-US" w:eastAsia="zh-CN"/>
              </w:rPr>
              <w:tab/>
            </w:r>
            <w:r>
              <w:rPr>
                <w:rFonts w:hint="eastAsia" w:ascii="宋体" w:hAnsi="宋体" w:eastAsia="宋体" w:cs="宋体"/>
                <w:position w:val="6"/>
                <w:sz w:val="18"/>
                <w:szCs w:val="18"/>
                <w:lang w:val="en-US" w:eastAsia="zh-CN"/>
              </w:rPr>
              <w:t xml:space="preserve">     检查结果</w:t>
            </w:r>
          </w:p>
        </w:tc>
      </w:tr>
      <w:tr w14:paraId="07826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5" w:hRule="atLeast"/>
          <w:jc w:val="center"/>
        </w:trPr>
        <w:tc>
          <w:tcPr>
            <w:tcW w:w="463" w:type="dxa"/>
            <w:noWrap w:val="0"/>
            <w:vAlign w:val="center"/>
          </w:tcPr>
          <w:p w14:paraId="2EE5B617">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一般隐患</w:t>
            </w:r>
          </w:p>
        </w:tc>
        <w:tc>
          <w:tcPr>
            <w:tcW w:w="9396" w:type="dxa"/>
            <w:gridSpan w:val="7"/>
            <w:noWrap w:val="0"/>
            <w:vAlign w:val="center"/>
          </w:tcPr>
          <w:p w14:paraId="5D27F9F4">
            <w:pPr>
              <w:rPr>
                <w:rFonts w:hint="eastAsia" w:ascii="宋体" w:hAnsi="宋体" w:eastAsia="宋体" w:cs="宋体"/>
                <w:sz w:val="18"/>
                <w:szCs w:val="18"/>
              </w:rPr>
            </w:pPr>
          </w:p>
          <w:p w14:paraId="7FD43642">
            <w:pPr>
              <w:rPr>
                <w:rFonts w:hint="eastAsia" w:ascii="宋体" w:hAnsi="宋体" w:eastAsia="宋体" w:cs="宋体"/>
                <w:sz w:val="18"/>
                <w:szCs w:val="18"/>
              </w:rPr>
            </w:pPr>
          </w:p>
          <w:p w14:paraId="0FBE2CC9">
            <w:pPr>
              <w:rPr>
                <w:rFonts w:hint="eastAsia" w:ascii="宋体" w:hAnsi="宋体" w:eastAsia="宋体" w:cs="宋体"/>
                <w:sz w:val="18"/>
                <w:szCs w:val="18"/>
              </w:rPr>
            </w:pPr>
          </w:p>
          <w:p w14:paraId="6A023CB7">
            <w:pPr>
              <w:rPr>
                <w:rFonts w:hint="eastAsia" w:ascii="宋体" w:hAnsi="宋体" w:eastAsia="宋体" w:cs="宋体"/>
                <w:sz w:val="18"/>
                <w:szCs w:val="18"/>
              </w:rPr>
            </w:pPr>
          </w:p>
          <w:p w14:paraId="6992FD3D">
            <w:pPr>
              <w:rPr>
                <w:rFonts w:hint="eastAsia" w:ascii="宋体" w:hAnsi="宋体" w:eastAsia="宋体" w:cs="宋体"/>
                <w:sz w:val="18"/>
                <w:szCs w:val="18"/>
              </w:rPr>
            </w:pPr>
          </w:p>
          <w:p w14:paraId="60C949BF">
            <w:pPr>
              <w:rPr>
                <w:rFonts w:hint="eastAsia" w:ascii="宋体" w:hAnsi="宋体" w:eastAsia="宋体" w:cs="宋体"/>
                <w:sz w:val="18"/>
                <w:szCs w:val="18"/>
              </w:rPr>
            </w:pPr>
          </w:p>
          <w:p w14:paraId="3DA0D09C">
            <w:pPr>
              <w:rPr>
                <w:rFonts w:hint="eastAsia" w:ascii="宋体" w:hAnsi="宋体" w:eastAsia="宋体" w:cs="宋体"/>
                <w:sz w:val="18"/>
                <w:szCs w:val="18"/>
              </w:rPr>
            </w:pPr>
          </w:p>
          <w:p w14:paraId="30075C69">
            <w:pPr>
              <w:rPr>
                <w:rFonts w:hint="eastAsia" w:ascii="宋体" w:hAnsi="宋体" w:eastAsia="宋体" w:cs="宋体"/>
                <w:sz w:val="18"/>
                <w:szCs w:val="18"/>
              </w:rPr>
            </w:pPr>
          </w:p>
          <w:p w14:paraId="19AEC4E4">
            <w:pPr>
              <w:rPr>
                <w:rFonts w:hint="eastAsia" w:ascii="宋体" w:hAnsi="宋体" w:eastAsia="宋体" w:cs="宋体"/>
                <w:sz w:val="18"/>
                <w:szCs w:val="18"/>
              </w:rPr>
            </w:pPr>
          </w:p>
          <w:p w14:paraId="6D2838A6">
            <w:pPr>
              <w:rPr>
                <w:rFonts w:hint="eastAsia" w:ascii="宋体" w:hAnsi="宋体" w:eastAsia="宋体" w:cs="宋体"/>
                <w:sz w:val="18"/>
                <w:szCs w:val="18"/>
              </w:rPr>
            </w:pPr>
          </w:p>
        </w:tc>
      </w:tr>
      <w:tr w14:paraId="68550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2" w:hRule="atLeast"/>
          <w:jc w:val="center"/>
        </w:trPr>
        <w:tc>
          <w:tcPr>
            <w:tcW w:w="463" w:type="dxa"/>
            <w:noWrap w:val="0"/>
            <w:vAlign w:val="center"/>
          </w:tcPr>
          <w:p w14:paraId="665E7C4C">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红线隐患</w:t>
            </w:r>
          </w:p>
        </w:tc>
        <w:tc>
          <w:tcPr>
            <w:tcW w:w="9396" w:type="dxa"/>
            <w:gridSpan w:val="7"/>
            <w:noWrap w:val="0"/>
            <w:vAlign w:val="center"/>
          </w:tcPr>
          <w:p w14:paraId="449665B5">
            <w:pPr>
              <w:rPr>
                <w:rFonts w:hint="eastAsia" w:ascii="宋体" w:hAnsi="宋体" w:eastAsia="宋体" w:cs="宋体"/>
                <w:sz w:val="18"/>
                <w:szCs w:val="18"/>
              </w:rPr>
            </w:pPr>
          </w:p>
          <w:p w14:paraId="580BF38D">
            <w:pPr>
              <w:rPr>
                <w:rFonts w:hint="eastAsia" w:ascii="宋体" w:hAnsi="宋体" w:eastAsia="宋体" w:cs="宋体"/>
                <w:sz w:val="18"/>
                <w:szCs w:val="18"/>
              </w:rPr>
            </w:pPr>
          </w:p>
          <w:p w14:paraId="47647204">
            <w:pPr>
              <w:rPr>
                <w:rFonts w:hint="eastAsia" w:ascii="宋体" w:hAnsi="宋体" w:eastAsia="宋体" w:cs="宋体"/>
                <w:sz w:val="18"/>
                <w:szCs w:val="18"/>
              </w:rPr>
            </w:pPr>
          </w:p>
          <w:p w14:paraId="38D90A77">
            <w:pPr>
              <w:rPr>
                <w:rFonts w:hint="eastAsia" w:ascii="宋体" w:hAnsi="宋体" w:eastAsia="宋体" w:cs="宋体"/>
                <w:sz w:val="18"/>
                <w:szCs w:val="18"/>
              </w:rPr>
            </w:pPr>
          </w:p>
          <w:p w14:paraId="6A92A895">
            <w:pPr>
              <w:rPr>
                <w:rFonts w:hint="eastAsia" w:ascii="宋体" w:hAnsi="宋体" w:eastAsia="宋体" w:cs="宋体"/>
                <w:sz w:val="18"/>
                <w:szCs w:val="18"/>
              </w:rPr>
            </w:pPr>
          </w:p>
          <w:p w14:paraId="7512333A">
            <w:pPr>
              <w:rPr>
                <w:rFonts w:hint="eastAsia" w:ascii="宋体" w:hAnsi="宋体" w:eastAsia="宋体" w:cs="宋体"/>
                <w:sz w:val="18"/>
                <w:szCs w:val="18"/>
              </w:rPr>
            </w:pPr>
          </w:p>
          <w:p w14:paraId="4B3133C8">
            <w:pPr>
              <w:rPr>
                <w:rFonts w:hint="eastAsia" w:ascii="宋体" w:hAnsi="宋体" w:eastAsia="宋体" w:cs="宋体"/>
                <w:sz w:val="18"/>
                <w:szCs w:val="18"/>
              </w:rPr>
            </w:pPr>
          </w:p>
          <w:p w14:paraId="26139B19">
            <w:pPr>
              <w:rPr>
                <w:rFonts w:hint="eastAsia" w:ascii="宋体" w:hAnsi="宋体" w:eastAsia="宋体" w:cs="宋体"/>
                <w:sz w:val="18"/>
                <w:szCs w:val="18"/>
              </w:rPr>
            </w:pPr>
          </w:p>
        </w:tc>
      </w:tr>
      <w:tr w14:paraId="2E8B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627" w:type="dxa"/>
            <w:gridSpan w:val="3"/>
            <w:noWrap w:val="0"/>
            <w:vAlign w:val="center"/>
          </w:tcPr>
          <w:p w14:paraId="544E427C">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检查人员签名及联系电话</w:t>
            </w:r>
          </w:p>
        </w:tc>
        <w:tc>
          <w:tcPr>
            <w:tcW w:w="4440" w:type="dxa"/>
            <w:gridSpan w:val="2"/>
            <w:noWrap w:val="0"/>
            <w:vAlign w:val="center"/>
          </w:tcPr>
          <w:p w14:paraId="2570F011">
            <w:pPr>
              <w:rPr>
                <w:rFonts w:hint="eastAsia" w:ascii="宋体" w:hAnsi="宋体" w:eastAsia="宋体" w:cs="宋体"/>
                <w:sz w:val="18"/>
                <w:szCs w:val="18"/>
              </w:rPr>
            </w:pPr>
          </w:p>
          <w:p w14:paraId="7A6F4A9E">
            <w:pPr>
              <w:ind w:firstLine="4140" w:firstLineChars="2300"/>
              <w:rPr>
                <w:rFonts w:hint="eastAsia" w:ascii="宋体" w:hAnsi="宋体" w:eastAsia="宋体" w:cs="宋体"/>
                <w:sz w:val="18"/>
                <w:szCs w:val="18"/>
              </w:rPr>
            </w:pPr>
          </w:p>
        </w:tc>
        <w:tc>
          <w:tcPr>
            <w:tcW w:w="1404" w:type="dxa"/>
            <w:gridSpan w:val="2"/>
            <w:noWrap w:val="0"/>
            <w:vAlign w:val="center"/>
          </w:tcPr>
          <w:p w14:paraId="3B760B3E">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日  期</w:t>
            </w:r>
          </w:p>
        </w:tc>
        <w:tc>
          <w:tcPr>
            <w:tcW w:w="2388" w:type="dxa"/>
            <w:noWrap w:val="0"/>
            <w:vAlign w:val="center"/>
          </w:tcPr>
          <w:p w14:paraId="77CF96AE">
            <w:pPr>
              <w:ind w:firstLine="4140" w:firstLineChars="2300"/>
              <w:rPr>
                <w:rFonts w:hint="eastAsia" w:ascii="宋体" w:hAnsi="宋体" w:eastAsia="宋体" w:cs="宋体"/>
                <w:sz w:val="18"/>
                <w:szCs w:val="18"/>
              </w:rPr>
            </w:pPr>
          </w:p>
        </w:tc>
      </w:tr>
      <w:tr w14:paraId="30A4B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1627" w:type="dxa"/>
            <w:gridSpan w:val="3"/>
            <w:noWrap w:val="0"/>
            <w:vAlign w:val="center"/>
          </w:tcPr>
          <w:p w14:paraId="1A802063">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受检单位签名及联系电话</w:t>
            </w:r>
          </w:p>
        </w:tc>
        <w:tc>
          <w:tcPr>
            <w:tcW w:w="4440" w:type="dxa"/>
            <w:gridSpan w:val="2"/>
            <w:noWrap w:val="0"/>
            <w:vAlign w:val="center"/>
          </w:tcPr>
          <w:p w14:paraId="62CD4CA2">
            <w:pPr>
              <w:rPr>
                <w:rFonts w:hint="eastAsia" w:ascii="宋体" w:hAnsi="宋体" w:eastAsia="宋体" w:cs="宋体"/>
                <w:sz w:val="18"/>
                <w:szCs w:val="18"/>
              </w:rPr>
            </w:pPr>
          </w:p>
          <w:p w14:paraId="2E35EA2F">
            <w:pPr>
              <w:ind w:firstLine="4140" w:firstLineChars="2300"/>
              <w:rPr>
                <w:rFonts w:hint="eastAsia" w:ascii="宋体" w:hAnsi="宋体" w:eastAsia="宋体" w:cs="宋体"/>
                <w:sz w:val="18"/>
                <w:szCs w:val="18"/>
              </w:rPr>
            </w:pPr>
          </w:p>
        </w:tc>
        <w:tc>
          <w:tcPr>
            <w:tcW w:w="1404" w:type="dxa"/>
            <w:gridSpan w:val="2"/>
            <w:noWrap w:val="0"/>
            <w:vAlign w:val="center"/>
          </w:tcPr>
          <w:p w14:paraId="21C3C25D">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日  期</w:t>
            </w:r>
          </w:p>
        </w:tc>
        <w:tc>
          <w:tcPr>
            <w:tcW w:w="2388" w:type="dxa"/>
            <w:noWrap w:val="0"/>
            <w:vAlign w:val="center"/>
          </w:tcPr>
          <w:p w14:paraId="1A73D837">
            <w:pPr>
              <w:ind w:firstLine="4140" w:firstLineChars="2300"/>
              <w:rPr>
                <w:rFonts w:hint="eastAsia" w:ascii="宋体" w:hAnsi="宋体" w:eastAsia="宋体" w:cs="宋体"/>
                <w:sz w:val="18"/>
                <w:szCs w:val="18"/>
              </w:rPr>
            </w:pPr>
          </w:p>
        </w:tc>
      </w:tr>
      <w:tr w14:paraId="55FC7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9" w:hRule="atLeast"/>
          <w:jc w:val="center"/>
        </w:trPr>
        <w:tc>
          <w:tcPr>
            <w:tcW w:w="463" w:type="dxa"/>
            <w:noWrap w:val="0"/>
            <w:vAlign w:val="center"/>
          </w:tcPr>
          <w:p w14:paraId="6527EB92">
            <w:pPr>
              <w:spacing w:line="240" w:lineRule="atLeast"/>
              <w:jc w:val="center"/>
              <w:rPr>
                <w:rFonts w:hint="eastAsia" w:ascii="宋体" w:hAnsi="宋体" w:eastAsia="宋体" w:cs="宋体"/>
                <w:bCs/>
                <w:sz w:val="18"/>
                <w:szCs w:val="18"/>
              </w:rPr>
            </w:pPr>
            <w:r>
              <w:rPr>
                <w:rFonts w:hint="eastAsia" w:ascii="宋体" w:hAnsi="宋体" w:eastAsia="宋体" w:cs="宋体"/>
                <w:bCs/>
                <w:sz w:val="18"/>
                <w:szCs w:val="18"/>
              </w:rPr>
              <w:t>说明</w:t>
            </w:r>
          </w:p>
        </w:tc>
        <w:tc>
          <w:tcPr>
            <w:tcW w:w="9396" w:type="dxa"/>
            <w:gridSpan w:val="7"/>
            <w:tcBorders>
              <w:bottom w:val="single" w:color="auto" w:sz="4" w:space="0"/>
            </w:tcBorders>
            <w:noWrap w:val="0"/>
            <w:vAlign w:val="center"/>
          </w:tcPr>
          <w:p w14:paraId="2150D633">
            <w:pPr>
              <w:keepNext w:val="0"/>
              <w:keepLines w:val="0"/>
              <w:pageBreakBefore w:val="0"/>
              <w:widowControl/>
              <w:numPr>
                <w:ilvl w:val="0"/>
                <w:numId w:val="59"/>
              </w:numPr>
              <w:kinsoku/>
              <w:wordWrap/>
              <w:overflowPunct/>
              <w:topLinePunct w:val="0"/>
              <w:autoSpaceDE/>
              <w:autoSpaceDN/>
              <w:bidi w:val="0"/>
              <w:adjustRightInd/>
              <w:snapToGrid/>
              <w:spacing w:line="240" w:lineRule="exac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检查结果必须按一般隐患和红线隐患分栏填写，隐患描述应规范、清晰，应标明设备现场编号、产权号及隐患部位和程度。存在红线隐患设备应立即停用。无隐患的应在相应栏中填写“无一般隐患”或。“无红线隐患”</w:t>
            </w:r>
          </w:p>
          <w:p w14:paraId="2385A97D">
            <w:pPr>
              <w:keepNext w:val="0"/>
              <w:keepLines w:val="0"/>
              <w:pageBreakBefore w:val="0"/>
              <w:widowControl/>
              <w:numPr>
                <w:ilvl w:val="0"/>
                <w:numId w:val="0"/>
              </w:numPr>
              <w:kinsoku/>
              <w:wordWrap/>
              <w:overflowPunct/>
              <w:topLinePunct w:val="0"/>
              <w:autoSpaceDE/>
              <w:autoSpaceDN/>
              <w:bidi w:val="0"/>
              <w:adjustRightInd/>
              <w:snapToGrid/>
              <w:spacing w:line="240" w:lineRule="exact"/>
              <w:textAlignment w:val="auto"/>
              <w:rPr>
                <w:rFonts w:hint="eastAsia" w:ascii="宋体" w:hAnsi="宋体" w:eastAsia="宋体" w:cs="宋体"/>
                <w:sz w:val="18"/>
                <w:szCs w:val="18"/>
              </w:rPr>
            </w:pPr>
            <w:r>
              <w:rPr>
                <w:rFonts w:hint="eastAsia" w:ascii="宋体" w:hAnsi="宋体" w:eastAsia="宋体" w:cs="宋体"/>
                <w:sz w:val="18"/>
                <w:szCs w:val="18"/>
              </w:rPr>
              <w:t>2、</w:t>
            </w:r>
            <w:r>
              <w:rPr>
                <w:rFonts w:hint="eastAsia" w:ascii="宋体" w:hAnsi="宋体" w:eastAsia="宋体" w:cs="宋体"/>
                <w:sz w:val="18"/>
                <w:szCs w:val="18"/>
                <w:lang w:val="en-US" w:eastAsia="zh-CN"/>
              </w:rPr>
              <w:t>同一工程，同一安装、产权、维保单位的受检查设备可填写在一张表中，不够的可以附页，附页应有签名和盖章。3、</w:t>
            </w:r>
            <w:r>
              <w:rPr>
                <w:rFonts w:hint="eastAsia" w:ascii="宋体" w:hAnsi="宋体" w:eastAsia="宋体" w:cs="宋体"/>
                <w:sz w:val="18"/>
                <w:szCs w:val="18"/>
              </w:rPr>
              <w:t>本表一式三份</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可复印）</w:t>
            </w:r>
            <w:r>
              <w:rPr>
                <w:rFonts w:hint="eastAsia" w:ascii="宋体" w:hAnsi="宋体" w:eastAsia="宋体" w:cs="宋体"/>
                <w:sz w:val="18"/>
                <w:szCs w:val="18"/>
              </w:rPr>
              <w:t>，一份</w:t>
            </w:r>
            <w:r>
              <w:rPr>
                <w:rFonts w:hint="eastAsia" w:ascii="宋体" w:hAnsi="宋体" w:eastAsia="宋体" w:cs="宋体"/>
                <w:sz w:val="18"/>
                <w:szCs w:val="18"/>
                <w:lang w:val="en-US" w:eastAsia="zh-CN"/>
              </w:rPr>
              <w:t>第三方</w:t>
            </w:r>
            <w:r>
              <w:rPr>
                <w:rFonts w:hint="eastAsia" w:ascii="宋体" w:hAnsi="宋体" w:eastAsia="宋体" w:cs="宋体"/>
                <w:sz w:val="18"/>
                <w:szCs w:val="18"/>
              </w:rPr>
              <w:t>单位留底</w:t>
            </w:r>
            <w:r>
              <w:rPr>
                <w:rFonts w:hint="eastAsia" w:ascii="宋体" w:hAnsi="宋体" w:eastAsia="宋体" w:cs="宋体"/>
                <w:sz w:val="18"/>
                <w:szCs w:val="18"/>
                <w:lang w:val="en-US" w:eastAsia="zh-CN"/>
              </w:rPr>
              <w:t>；</w:t>
            </w:r>
            <w:r>
              <w:rPr>
                <w:rFonts w:hint="eastAsia" w:ascii="宋体" w:hAnsi="宋体" w:eastAsia="宋体" w:cs="宋体"/>
                <w:sz w:val="18"/>
                <w:szCs w:val="18"/>
              </w:rPr>
              <w:t>一份</w:t>
            </w:r>
            <w:r>
              <w:rPr>
                <w:rFonts w:hint="eastAsia" w:ascii="宋体" w:hAnsi="宋体" w:eastAsia="宋体" w:cs="宋体"/>
                <w:sz w:val="18"/>
                <w:szCs w:val="18"/>
                <w:lang w:val="en-US" w:eastAsia="zh-CN"/>
              </w:rPr>
              <w:t>使用</w:t>
            </w:r>
            <w:r>
              <w:rPr>
                <w:rFonts w:hint="eastAsia" w:ascii="宋体" w:hAnsi="宋体" w:eastAsia="宋体" w:cs="宋体"/>
                <w:sz w:val="18"/>
                <w:szCs w:val="18"/>
              </w:rPr>
              <w:t>单位</w:t>
            </w:r>
            <w:r>
              <w:rPr>
                <w:rFonts w:hint="eastAsia" w:ascii="宋体" w:hAnsi="宋体" w:eastAsia="宋体" w:cs="宋体"/>
                <w:sz w:val="18"/>
                <w:szCs w:val="18"/>
                <w:lang w:val="en-US" w:eastAsia="zh-CN"/>
              </w:rPr>
              <w:t>；</w:t>
            </w:r>
            <w:r>
              <w:rPr>
                <w:rFonts w:hint="eastAsia" w:ascii="宋体" w:hAnsi="宋体" w:eastAsia="宋体" w:cs="宋体"/>
                <w:sz w:val="18"/>
                <w:szCs w:val="18"/>
              </w:rPr>
              <w:t>一份</w:t>
            </w:r>
            <w:r>
              <w:rPr>
                <w:rFonts w:hint="eastAsia" w:ascii="宋体" w:hAnsi="宋体" w:eastAsia="宋体" w:cs="宋体"/>
                <w:sz w:val="18"/>
                <w:szCs w:val="18"/>
                <w:lang w:val="en-US" w:eastAsia="zh-CN"/>
              </w:rPr>
              <w:t>委托</w:t>
            </w:r>
            <w:r>
              <w:rPr>
                <w:rFonts w:hint="eastAsia" w:ascii="宋体" w:hAnsi="宋体" w:eastAsia="宋体" w:cs="宋体"/>
                <w:sz w:val="18"/>
                <w:szCs w:val="18"/>
              </w:rPr>
              <w:t>单位。</w:t>
            </w:r>
          </w:p>
        </w:tc>
      </w:tr>
    </w:tbl>
    <w:p w14:paraId="278DCCEC">
      <w:pPr>
        <w:pStyle w:val="4"/>
        <w:ind w:left="0" w:leftChars="0" w:firstLine="0" w:firstLineChars="0"/>
        <w:rPr>
          <w:rFonts w:hint="eastAsia" w:ascii="宋体" w:hAnsi="宋体" w:eastAsia="宋体" w:cs="宋体"/>
          <w:lang w:val="en-US" w:eastAsia="zh-CN"/>
        </w:rPr>
      </w:pPr>
    </w:p>
    <w:sectPr>
      <w:pgSz w:w="11906" w:h="16838"/>
      <w:pgMar w:top="1440" w:right="541" w:bottom="1440" w:left="8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Light">
    <w:panose1 w:val="020B0502040204020203"/>
    <w:charset w:val="86"/>
    <w:family w:val="auto"/>
    <w:pitch w:val="default"/>
    <w:sig w:usb0="80000287" w:usb1="2ACF0010" w:usb2="00000016" w:usb3="00000000" w:csb0="0004001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C07D">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82492F">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482492F">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EAEB6"/>
    <w:multiLevelType w:val="singleLevel"/>
    <w:tmpl w:val="822EAEB6"/>
    <w:lvl w:ilvl="0" w:tentative="0">
      <w:start w:val="1"/>
      <w:numFmt w:val="decimal"/>
      <w:suff w:val="nothing"/>
      <w:lvlText w:val="%1、"/>
      <w:lvlJc w:val="left"/>
    </w:lvl>
  </w:abstractNum>
  <w:abstractNum w:abstractNumId="1">
    <w:nsid w:val="8DAF9485"/>
    <w:multiLevelType w:val="singleLevel"/>
    <w:tmpl w:val="8DAF9485"/>
    <w:lvl w:ilvl="0" w:tentative="0">
      <w:start w:val="1"/>
      <w:numFmt w:val="decimal"/>
      <w:suff w:val="nothing"/>
      <w:lvlText w:val="%1、"/>
      <w:lvlJc w:val="left"/>
    </w:lvl>
  </w:abstractNum>
  <w:abstractNum w:abstractNumId="2">
    <w:nsid w:val="917889B2"/>
    <w:multiLevelType w:val="singleLevel"/>
    <w:tmpl w:val="917889B2"/>
    <w:lvl w:ilvl="0" w:tentative="0">
      <w:start w:val="1"/>
      <w:numFmt w:val="decimal"/>
      <w:suff w:val="nothing"/>
      <w:lvlText w:val="%1、"/>
      <w:lvlJc w:val="left"/>
    </w:lvl>
  </w:abstractNum>
  <w:abstractNum w:abstractNumId="3">
    <w:nsid w:val="98D8DEDC"/>
    <w:multiLevelType w:val="singleLevel"/>
    <w:tmpl w:val="98D8DEDC"/>
    <w:lvl w:ilvl="0" w:tentative="0">
      <w:start w:val="1"/>
      <w:numFmt w:val="decimal"/>
      <w:suff w:val="nothing"/>
      <w:lvlText w:val="%1、"/>
      <w:lvlJc w:val="left"/>
    </w:lvl>
  </w:abstractNum>
  <w:abstractNum w:abstractNumId="4">
    <w:nsid w:val="98E48040"/>
    <w:multiLevelType w:val="singleLevel"/>
    <w:tmpl w:val="98E48040"/>
    <w:lvl w:ilvl="0" w:tentative="0">
      <w:start w:val="1"/>
      <w:numFmt w:val="decimal"/>
      <w:suff w:val="nothing"/>
      <w:lvlText w:val="%1、"/>
      <w:lvlJc w:val="left"/>
    </w:lvl>
  </w:abstractNum>
  <w:abstractNum w:abstractNumId="5">
    <w:nsid w:val="A6A1CDE1"/>
    <w:multiLevelType w:val="singleLevel"/>
    <w:tmpl w:val="A6A1CDE1"/>
    <w:lvl w:ilvl="0" w:tentative="0">
      <w:start w:val="1"/>
      <w:numFmt w:val="decimal"/>
      <w:suff w:val="nothing"/>
      <w:lvlText w:val="%1、"/>
      <w:lvlJc w:val="left"/>
    </w:lvl>
  </w:abstractNum>
  <w:abstractNum w:abstractNumId="6">
    <w:nsid w:val="A7CB78E5"/>
    <w:multiLevelType w:val="singleLevel"/>
    <w:tmpl w:val="A7CB78E5"/>
    <w:lvl w:ilvl="0" w:tentative="0">
      <w:start w:val="1"/>
      <w:numFmt w:val="decimal"/>
      <w:suff w:val="nothing"/>
      <w:lvlText w:val="%1、"/>
      <w:lvlJc w:val="left"/>
    </w:lvl>
  </w:abstractNum>
  <w:abstractNum w:abstractNumId="7">
    <w:nsid w:val="AA02B143"/>
    <w:multiLevelType w:val="singleLevel"/>
    <w:tmpl w:val="AA02B143"/>
    <w:lvl w:ilvl="0" w:tentative="0">
      <w:start w:val="1"/>
      <w:numFmt w:val="decimal"/>
      <w:suff w:val="nothing"/>
      <w:lvlText w:val="%1、"/>
      <w:lvlJc w:val="left"/>
    </w:lvl>
  </w:abstractNum>
  <w:abstractNum w:abstractNumId="8">
    <w:nsid w:val="AF0832D8"/>
    <w:multiLevelType w:val="singleLevel"/>
    <w:tmpl w:val="AF0832D8"/>
    <w:lvl w:ilvl="0" w:tentative="0">
      <w:start w:val="1"/>
      <w:numFmt w:val="decimal"/>
      <w:suff w:val="nothing"/>
      <w:lvlText w:val="%1、"/>
      <w:lvlJc w:val="left"/>
    </w:lvl>
  </w:abstractNum>
  <w:abstractNum w:abstractNumId="9">
    <w:nsid w:val="B3E294A1"/>
    <w:multiLevelType w:val="singleLevel"/>
    <w:tmpl w:val="B3E294A1"/>
    <w:lvl w:ilvl="0" w:tentative="0">
      <w:start w:val="1"/>
      <w:numFmt w:val="decimal"/>
      <w:suff w:val="nothing"/>
      <w:lvlText w:val="%1、"/>
      <w:lvlJc w:val="left"/>
    </w:lvl>
  </w:abstractNum>
  <w:abstractNum w:abstractNumId="10">
    <w:nsid w:val="C2313880"/>
    <w:multiLevelType w:val="singleLevel"/>
    <w:tmpl w:val="C2313880"/>
    <w:lvl w:ilvl="0" w:tentative="0">
      <w:start w:val="1"/>
      <w:numFmt w:val="decimal"/>
      <w:suff w:val="nothing"/>
      <w:lvlText w:val="%1、"/>
      <w:lvlJc w:val="left"/>
    </w:lvl>
  </w:abstractNum>
  <w:abstractNum w:abstractNumId="11">
    <w:nsid w:val="C8E7CFA6"/>
    <w:multiLevelType w:val="singleLevel"/>
    <w:tmpl w:val="C8E7CFA6"/>
    <w:lvl w:ilvl="0" w:tentative="0">
      <w:start w:val="1"/>
      <w:numFmt w:val="decimal"/>
      <w:suff w:val="nothing"/>
      <w:lvlText w:val="%1、"/>
      <w:lvlJc w:val="left"/>
    </w:lvl>
  </w:abstractNum>
  <w:abstractNum w:abstractNumId="12">
    <w:nsid w:val="D09DE2E7"/>
    <w:multiLevelType w:val="singleLevel"/>
    <w:tmpl w:val="D09DE2E7"/>
    <w:lvl w:ilvl="0" w:tentative="0">
      <w:start w:val="1"/>
      <w:numFmt w:val="decimal"/>
      <w:suff w:val="nothing"/>
      <w:lvlText w:val="%1、"/>
      <w:lvlJc w:val="left"/>
    </w:lvl>
  </w:abstractNum>
  <w:abstractNum w:abstractNumId="13">
    <w:nsid w:val="D3685560"/>
    <w:multiLevelType w:val="singleLevel"/>
    <w:tmpl w:val="D3685560"/>
    <w:lvl w:ilvl="0" w:tentative="0">
      <w:start w:val="1"/>
      <w:numFmt w:val="decimal"/>
      <w:suff w:val="nothing"/>
      <w:lvlText w:val="%1、"/>
      <w:lvlJc w:val="left"/>
    </w:lvl>
  </w:abstractNum>
  <w:abstractNum w:abstractNumId="14">
    <w:nsid w:val="D42BC2FF"/>
    <w:multiLevelType w:val="singleLevel"/>
    <w:tmpl w:val="D42BC2FF"/>
    <w:lvl w:ilvl="0" w:tentative="0">
      <w:start w:val="1"/>
      <w:numFmt w:val="decimal"/>
      <w:suff w:val="nothing"/>
      <w:lvlText w:val="%1、"/>
      <w:lvlJc w:val="left"/>
    </w:lvl>
  </w:abstractNum>
  <w:abstractNum w:abstractNumId="15">
    <w:nsid w:val="D57A5250"/>
    <w:multiLevelType w:val="singleLevel"/>
    <w:tmpl w:val="D57A5250"/>
    <w:lvl w:ilvl="0" w:tentative="0">
      <w:start w:val="6"/>
      <w:numFmt w:val="decimal"/>
      <w:lvlText w:val="%1."/>
      <w:lvlJc w:val="left"/>
      <w:pPr>
        <w:tabs>
          <w:tab w:val="left" w:pos="312"/>
        </w:tabs>
      </w:pPr>
      <w:rPr>
        <w:rFonts w:hint="default" w:ascii="宋体" w:hAnsi="宋体" w:eastAsia="宋体" w:cs="宋体"/>
        <w:b/>
        <w:bCs/>
        <w:sz w:val="24"/>
        <w:szCs w:val="24"/>
      </w:rPr>
    </w:lvl>
  </w:abstractNum>
  <w:abstractNum w:abstractNumId="16">
    <w:nsid w:val="D95057F0"/>
    <w:multiLevelType w:val="singleLevel"/>
    <w:tmpl w:val="D95057F0"/>
    <w:lvl w:ilvl="0" w:tentative="0">
      <w:start w:val="1"/>
      <w:numFmt w:val="decimal"/>
      <w:suff w:val="nothing"/>
      <w:lvlText w:val="%1、"/>
      <w:lvlJc w:val="left"/>
    </w:lvl>
  </w:abstractNum>
  <w:abstractNum w:abstractNumId="17">
    <w:nsid w:val="E1365453"/>
    <w:multiLevelType w:val="singleLevel"/>
    <w:tmpl w:val="E1365453"/>
    <w:lvl w:ilvl="0" w:tentative="0">
      <w:start w:val="1"/>
      <w:numFmt w:val="decimal"/>
      <w:suff w:val="nothing"/>
      <w:lvlText w:val="%1、"/>
      <w:lvlJc w:val="left"/>
    </w:lvl>
  </w:abstractNum>
  <w:abstractNum w:abstractNumId="18">
    <w:nsid w:val="E29C1217"/>
    <w:multiLevelType w:val="singleLevel"/>
    <w:tmpl w:val="E29C1217"/>
    <w:lvl w:ilvl="0" w:tentative="0">
      <w:start w:val="1"/>
      <w:numFmt w:val="decimal"/>
      <w:suff w:val="nothing"/>
      <w:lvlText w:val="%1、"/>
      <w:lvlJc w:val="left"/>
    </w:lvl>
  </w:abstractNum>
  <w:abstractNum w:abstractNumId="19">
    <w:nsid w:val="E2D62697"/>
    <w:multiLevelType w:val="singleLevel"/>
    <w:tmpl w:val="E2D62697"/>
    <w:lvl w:ilvl="0" w:tentative="0">
      <w:start w:val="1"/>
      <w:numFmt w:val="decimal"/>
      <w:suff w:val="nothing"/>
      <w:lvlText w:val="%1、"/>
      <w:lvlJc w:val="left"/>
    </w:lvl>
  </w:abstractNum>
  <w:abstractNum w:abstractNumId="20">
    <w:nsid w:val="EA3F224D"/>
    <w:multiLevelType w:val="singleLevel"/>
    <w:tmpl w:val="EA3F224D"/>
    <w:lvl w:ilvl="0" w:tentative="0">
      <w:start w:val="1"/>
      <w:numFmt w:val="chineseCounting"/>
      <w:pStyle w:val="5"/>
      <w:suff w:val="nothing"/>
      <w:lvlText w:val="（%1）"/>
      <w:lvlJc w:val="left"/>
      <w:pPr>
        <w:ind w:left="0" w:firstLine="420"/>
      </w:pPr>
      <w:rPr>
        <w:rFonts w:hint="eastAsia"/>
      </w:rPr>
    </w:lvl>
  </w:abstractNum>
  <w:abstractNum w:abstractNumId="21">
    <w:nsid w:val="F2EA3D7E"/>
    <w:multiLevelType w:val="singleLevel"/>
    <w:tmpl w:val="F2EA3D7E"/>
    <w:lvl w:ilvl="0" w:tentative="0">
      <w:start w:val="1"/>
      <w:numFmt w:val="decimal"/>
      <w:suff w:val="nothing"/>
      <w:lvlText w:val="%1、"/>
      <w:lvlJc w:val="left"/>
    </w:lvl>
  </w:abstractNum>
  <w:abstractNum w:abstractNumId="22">
    <w:nsid w:val="F44ECD06"/>
    <w:multiLevelType w:val="singleLevel"/>
    <w:tmpl w:val="F44ECD06"/>
    <w:lvl w:ilvl="0" w:tentative="0">
      <w:start w:val="1"/>
      <w:numFmt w:val="decimal"/>
      <w:lvlText w:val="%1."/>
      <w:lvlJc w:val="left"/>
      <w:pPr>
        <w:tabs>
          <w:tab w:val="left" w:pos="312"/>
        </w:tabs>
      </w:pPr>
    </w:lvl>
  </w:abstractNum>
  <w:abstractNum w:abstractNumId="23">
    <w:nsid w:val="F4FF091B"/>
    <w:multiLevelType w:val="singleLevel"/>
    <w:tmpl w:val="F4FF091B"/>
    <w:lvl w:ilvl="0" w:tentative="0">
      <w:start w:val="1"/>
      <w:numFmt w:val="decimal"/>
      <w:pStyle w:val="7"/>
      <w:lvlText w:val="(%1)"/>
      <w:lvlJc w:val="left"/>
      <w:pPr>
        <w:ind w:left="425" w:hanging="425"/>
      </w:pPr>
      <w:rPr>
        <w:rFonts w:hint="default"/>
      </w:rPr>
    </w:lvl>
  </w:abstractNum>
  <w:abstractNum w:abstractNumId="24">
    <w:nsid w:val="FEF1D912"/>
    <w:multiLevelType w:val="singleLevel"/>
    <w:tmpl w:val="FEF1D912"/>
    <w:lvl w:ilvl="0" w:tentative="0">
      <w:start w:val="1"/>
      <w:numFmt w:val="chineseCounting"/>
      <w:pStyle w:val="3"/>
      <w:suff w:val="nothing"/>
      <w:lvlText w:val="%1、"/>
      <w:lvlJc w:val="left"/>
      <w:pPr>
        <w:ind w:left="0" w:firstLine="420"/>
      </w:pPr>
      <w:rPr>
        <w:rFonts w:hint="eastAsia"/>
      </w:rPr>
    </w:lvl>
  </w:abstractNum>
  <w:abstractNum w:abstractNumId="25">
    <w:nsid w:val="FF362FA9"/>
    <w:multiLevelType w:val="singleLevel"/>
    <w:tmpl w:val="FF362FA9"/>
    <w:lvl w:ilvl="0" w:tentative="0">
      <w:start w:val="1"/>
      <w:numFmt w:val="decimal"/>
      <w:pStyle w:val="6"/>
      <w:lvlText w:val="%1."/>
      <w:lvlJc w:val="left"/>
      <w:pPr>
        <w:ind w:left="425" w:hanging="425"/>
      </w:pPr>
      <w:rPr>
        <w:rFonts w:hint="default"/>
      </w:rPr>
    </w:lvl>
  </w:abstractNum>
  <w:abstractNum w:abstractNumId="26">
    <w:nsid w:val="0AB52837"/>
    <w:multiLevelType w:val="singleLevel"/>
    <w:tmpl w:val="0AB52837"/>
    <w:lvl w:ilvl="0" w:tentative="0">
      <w:start w:val="1"/>
      <w:numFmt w:val="decimal"/>
      <w:suff w:val="nothing"/>
      <w:lvlText w:val="%1、"/>
      <w:lvlJc w:val="left"/>
    </w:lvl>
  </w:abstractNum>
  <w:abstractNum w:abstractNumId="27">
    <w:nsid w:val="0B355AE0"/>
    <w:multiLevelType w:val="singleLevel"/>
    <w:tmpl w:val="0B355AE0"/>
    <w:lvl w:ilvl="0" w:tentative="0">
      <w:start w:val="1"/>
      <w:numFmt w:val="decimal"/>
      <w:suff w:val="nothing"/>
      <w:lvlText w:val="%1、"/>
      <w:lvlJc w:val="left"/>
    </w:lvl>
  </w:abstractNum>
  <w:abstractNum w:abstractNumId="28">
    <w:nsid w:val="0B90F7D1"/>
    <w:multiLevelType w:val="singleLevel"/>
    <w:tmpl w:val="0B90F7D1"/>
    <w:lvl w:ilvl="0" w:tentative="0">
      <w:start w:val="1"/>
      <w:numFmt w:val="decimal"/>
      <w:suff w:val="nothing"/>
      <w:lvlText w:val="%1、"/>
      <w:lvlJc w:val="left"/>
    </w:lvl>
  </w:abstractNum>
  <w:abstractNum w:abstractNumId="29">
    <w:nsid w:val="163367F8"/>
    <w:multiLevelType w:val="singleLevel"/>
    <w:tmpl w:val="163367F8"/>
    <w:lvl w:ilvl="0" w:tentative="0">
      <w:start w:val="1"/>
      <w:numFmt w:val="decimal"/>
      <w:suff w:val="nothing"/>
      <w:lvlText w:val="%1、"/>
      <w:lvlJc w:val="left"/>
    </w:lvl>
  </w:abstractNum>
  <w:abstractNum w:abstractNumId="30">
    <w:nsid w:val="16586396"/>
    <w:multiLevelType w:val="singleLevel"/>
    <w:tmpl w:val="16586396"/>
    <w:lvl w:ilvl="0" w:tentative="0">
      <w:start w:val="1"/>
      <w:numFmt w:val="decimal"/>
      <w:suff w:val="nothing"/>
      <w:lvlText w:val="%1、"/>
      <w:lvlJc w:val="left"/>
    </w:lvl>
  </w:abstractNum>
  <w:abstractNum w:abstractNumId="31">
    <w:nsid w:val="174EFBB8"/>
    <w:multiLevelType w:val="singleLevel"/>
    <w:tmpl w:val="174EFBB8"/>
    <w:lvl w:ilvl="0" w:tentative="0">
      <w:start w:val="1"/>
      <w:numFmt w:val="decimal"/>
      <w:suff w:val="nothing"/>
      <w:lvlText w:val="%1、"/>
      <w:lvlJc w:val="left"/>
    </w:lvl>
  </w:abstractNum>
  <w:abstractNum w:abstractNumId="32">
    <w:nsid w:val="1B183DC7"/>
    <w:multiLevelType w:val="singleLevel"/>
    <w:tmpl w:val="1B183DC7"/>
    <w:lvl w:ilvl="0" w:tentative="0">
      <w:start w:val="1"/>
      <w:numFmt w:val="decimal"/>
      <w:suff w:val="nothing"/>
      <w:lvlText w:val="%1、"/>
      <w:lvlJc w:val="left"/>
    </w:lvl>
  </w:abstractNum>
  <w:abstractNum w:abstractNumId="33">
    <w:nsid w:val="23EC5A04"/>
    <w:multiLevelType w:val="singleLevel"/>
    <w:tmpl w:val="23EC5A04"/>
    <w:lvl w:ilvl="0" w:tentative="0">
      <w:start w:val="1"/>
      <w:numFmt w:val="decimal"/>
      <w:suff w:val="nothing"/>
      <w:lvlText w:val="%1、"/>
      <w:lvlJc w:val="left"/>
    </w:lvl>
  </w:abstractNum>
  <w:abstractNum w:abstractNumId="34">
    <w:nsid w:val="24332F2A"/>
    <w:multiLevelType w:val="singleLevel"/>
    <w:tmpl w:val="24332F2A"/>
    <w:lvl w:ilvl="0" w:tentative="0">
      <w:start w:val="1"/>
      <w:numFmt w:val="decimal"/>
      <w:suff w:val="nothing"/>
      <w:lvlText w:val="%1、"/>
      <w:lvlJc w:val="left"/>
    </w:lvl>
  </w:abstractNum>
  <w:abstractNum w:abstractNumId="35">
    <w:nsid w:val="30C21F66"/>
    <w:multiLevelType w:val="singleLevel"/>
    <w:tmpl w:val="30C21F66"/>
    <w:lvl w:ilvl="0" w:tentative="0">
      <w:start w:val="1"/>
      <w:numFmt w:val="decimal"/>
      <w:suff w:val="nothing"/>
      <w:lvlText w:val="%1、"/>
      <w:lvlJc w:val="left"/>
    </w:lvl>
  </w:abstractNum>
  <w:abstractNum w:abstractNumId="36">
    <w:nsid w:val="349DB8A6"/>
    <w:multiLevelType w:val="singleLevel"/>
    <w:tmpl w:val="349DB8A6"/>
    <w:lvl w:ilvl="0" w:tentative="0">
      <w:start w:val="1"/>
      <w:numFmt w:val="decimal"/>
      <w:suff w:val="nothing"/>
      <w:lvlText w:val="%1、"/>
      <w:lvlJc w:val="left"/>
    </w:lvl>
  </w:abstractNum>
  <w:abstractNum w:abstractNumId="37">
    <w:nsid w:val="34C873DD"/>
    <w:multiLevelType w:val="singleLevel"/>
    <w:tmpl w:val="34C873DD"/>
    <w:lvl w:ilvl="0" w:tentative="0">
      <w:start w:val="1"/>
      <w:numFmt w:val="decimal"/>
      <w:suff w:val="nothing"/>
      <w:lvlText w:val="%1、"/>
      <w:lvlJc w:val="left"/>
    </w:lvl>
  </w:abstractNum>
  <w:abstractNum w:abstractNumId="38">
    <w:nsid w:val="34CEE060"/>
    <w:multiLevelType w:val="singleLevel"/>
    <w:tmpl w:val="34CEE060"/>
    <w:lvl w:ilvl="0" w:tentative="0">
      <w:start w:val="1"/>
      <w:numFmt w:val="decimal"/>
      <w:suff w:val="nothing"/>
      <w:lvlText w:val="%1、"/>
      <w:lvlJc w:val="left"/>
    </w:lvl>
  </w:abstractNum>
  <w:abstractNum w:abstractNumId="39">
    <w:nsid w:val="34DF1E36"/>
    <w:multiLevelType w:val="singleLevel"/>
    <w:tmpl w:val="34DF1E36"/>
    <w:lvl w:ilvl="0" w:tentative="0">
      <w:start w:val="1"/>
      <w:numFmt w:val="decimal"/>
      <w:suff w:val="nothing"/>
      <w:lvlText w:val="%1、"/>
      <w:lvlJc w:val="left"/>
    </w:lvl>
  </w:abstractNum>
  <w:abstractNum w:abstractNumId="40">
    <w:nsid w:val="3B0C6CB3"/>
    <w:multiLevelType w:val="singleLevel"/>
    <w:tmpl w:val="3B0C6CB3"/>
    <w:lvl w:ilvl="0" w:tentative="0">
      <w:start w:val="1"/>
      <w:numFmt w:val="decimal"/>
      <w:suff w:val="nothing"/>
      <w:lvlText w:val="%1、"/>
      <w:lvlJc w:val="left"/>
    </w:lvl>
  </w:abstractNum>
  <w:abstractNum w:abstractNumId="41">
    <w:nsid w:val="3DC70B7A"/>
    <w:multiLevelType w:val="singleLevel"/>
    <w:tmpl w:val="3DC70B7A"/>
    <w:lvl w:ilvl="0" w:tentative="0">
      <w:start w:val="1"/>
      <w:numFmt w:val="decimal"/>
      <w:suff w:val="nothing"/>
      <w:lvlText w:val="%1、"/>
      <w:lvlJc w:val="left"/>
    </w:lvl>
  </w:abstractNum>
  <w:abstractNum w:abstractNumId="42">
    <w:nsid w:val="407B7A09"/>
    <w:multiLevelType w:val="singleLevel"/>
    <w:tmpl w:val="407B7A09"/>
    <w:lvl w:ilvl="0" w:tentative="0">
      <w:start w:val="1"/>
      <w:numFmt w:val="decimal"/>
      <w:suff w:val="nothing"/>
      <w:lvlText w:val="%1、"/>
      <w:lvlJc w:val="left"/>
    </w:lvl>
  </w:abstractNum>
  <w:abstractNum w:abstractNumId="43">
    <w:nsid w:val="4213D2DF"/>
    <w:multiLevelType w:val="singleLevel"/>
    <w:tmpl w:val="4213D2DF"/>
    <w:lvl w:ilvl="0" w:tentative="0">
      <w:start w:val="1"/>
      <w:numFmt w:val="decimal"/>
      <w:suff w:val="nothing"/>
      <w:lvlText w:val="%1、"/>
      <w:lvlJc w:val="left"/>
    </w:lvl>
  </w:abstractNum>
  <w:abstractNum w:abstractNumId="44">
    <w:nsid w:val="433A51CE"/>
    <w:multiLevelType w:val="singleLevel"/>
    <w:tmpl w:val="433A51CE"/>
    <w:lvl w:ilvl="0" w:tentative="0">
      <w:start w:val="1"/>
      <w:numFmt w:val="decimal"/>
      <w:suff w:val="nothing"/>
      <w:lvlText w:val="%1、"/>
      <w:lvlJc w:val="left"/>
    </w:lvl>
  </w:abstractNum>
  <w:abstractNum w:abstractNumId="45">
    <w:nsid w:val="4773E8E8"/>
    <w:multiLevelType w:val="singleLevel"/>
    <w:tmpl w:val="4773E8E8"/>
    <w:lvl w:ilvl="0" w:tentative="0">
      <w:start w:val="1"/>
      <w:numFmt w:val="decimal"/>
      <w:suff w:val="nothing"/>
      <w:lvlText w:val="%1、"/>
      <w:lvlJc w:val="left"/>
    </w:lvl>
  </w:abstractNum>
  <w:abstractNum w:abstractNumId="46">
    <w:nsid w:val="4DC0446A"/>
    <w:multiLevelType w:val="singleLevel"/>
    <w:tmpl w:val="4DC0446A"/>
    <w:lvl w:ilvl="0" w:tentative="0">
      <w:start w:val="1"/>
      <w:numFmt w:val="decimal"/>
      <w:suff w:val="nothing"/>
      <w:lvlText w:val="%1、"/>
      <w:lvlJc w:val="left"/>
    </w:lvl>
  </w:abstractNum>
  <w:abstractNum w:abstractNumId="47">
    <w:nsid w:val="57299755"/>
    <w:multiLevelType w:val="singleLevel"/>
    <w:tmpl w:val="57299755"/>
    <w:lvl w:ilvl="0" w:tentative="0">
      <w:start w:val="1"/>
      <w:numFmt w:val="decimal"/>
      <w:suff w:val="nothing"/>
      <w:lvlText w:val="%1、"/>
      <w:lvlJc w:val="left"/>
    </w:lvl>
  </w:abstractNum>
  <w:abstractNum w:abstractNumId="48">
    <w:nsid w:val="58BDA4E3"/>
    <w:multiLevelType w:val="singleLevel"/>
    <w:tmpl w:val="58BDA4E3"/>
    <w:lvl w:ilvl="0" w:tentative="0">
      <w:start w:val="1"/>
      <w:numFmt w:val="decimal"/>
      <w:suff w:val="nothing"/>
      <w:lvlText w:val="%1、"/>
      <w:lvlJc w:val="left"/>
    </w:lvl>
  </w:abstractNum>
  <w:abstractNum w:abstractNumId="49">
    <w:nsid w:val="654F95B4"/>
    <w:multiLevelType w:val="singleLevel"/>
    <w:tmpl w:val="654F95B4"/>
    <w:lvl w:ilvl="0" w:tentative="0">
      <w:start w:val="1"/>
      <w:numFmt w:val="decimal"/>
      <w:suff w:val="nothing"/>
      <w:lvlText w:val="%1、"/>
      <w:lvlJc w:val="left"/>
    </w:lvl>
  </w:abstractNum>
  <w:abstractNum w:abstractNumId="50">
    <w:nsid w:val="6753B1F7"/>
    <w:multiLevelType w:val="singleLevel"/>
    <w:tmpl w:val="6753B1F7"/>
    <w:lvl w:ilvl="0" w:tentative="0">
      <w:start w:val="1"/>
      <w:numFmt w:val="decimal"/>
      <w:suff w:val="nothing"/>
      <w:lvlText w:val="%1、"/>
      <w:lvlJc w:val="left"/>
    </w:lvl>
  </w:abstractNum>
  <w:abstractNum w:abstractNumId="51">
    <w:nsid w:val="68DE910D"/>
    <w:multiLevelType w:val="singleLevel"/>
    <w:tmpl w:val="68DE910D"/>
    <w:lvl w:ilvl="0" w:tentative="0">
      <w:start w:val="1"/>
      <w:numFmt w:val="decimal"/>
      <w:suff w:val="nothing"/>
      <w:lvlText w:val="%1、"/>
      <w:lvlJc w:val="left"/>
    </w:lvl>
  </w:abstractNum>
  <w:abstractNum w:abstractNumId="52">
    <w:nsid w:val="6FBE6DAA"/>
    <w:multiLevelType w:val="singleLevel"/>
    <w:tmpl w:val="6FBE6DAA"/>
    <w:lvl w:ilvl="0" w:tentative="0">
      <w:start w:val="1"/>
      <w:numFmt w:val="decimal"/>
      <w:suff w:val="nothing"/>
      <w:lvlText w:val="%1、"/>
      <w:lvlJc w:val="left"/>
    </w:lvl>
  </w:abstractNum>
  <w:abstractNum w:abstractNumId="53">
    <w:nsid w:val="70436D17"/>
    <w:multiLevelType w:val="singleLevel"/>
    <w:tmpl w:val="70436D17"/>
    <w:lvl w:ilvl="0" w:tentative="0">
      <w:start w:val="1"/>
      <w:numFmt w:val="decimal"/>
      <w:suff w:val="nothing"/>
      <w:lvlText w:val="%1、"/>
      <w:lvlJc w:val="left"/>
    </w:lvl>
  </w:abstractNum>
  <w:abstractNum w:abstractNumId="54">
    <w:nsid w:val="722B450E"/>
    <w:multiLevelType w:val="singleLevel"/>
    <w:tmpl w:val="722B450E"/>
    <w:lvl w:ilvl="0" w:tentative="0">
      <w:start w:val="1"/>
      <w:numFmt w:val="decimal"/>
      <w:suff w:val="nothing"/>
      <w:lvlText w:val="%1、"/>
      <w:lvlJc w:val="left"/>
    </w:lvl>
  </w:abstractNum>
  <w:abstractNum w:abstractNumId="55">
    <w:nsid w:val="73B168CA"/>
    <w:multiLevelType w:val="singleLevel"/>
    <w:tmpl w:val="73B168CA"/>
    <w:lvl w:ilvl="0" w:tentative="0">
      <w:start w:val="1"/>
      <w:numFmt w:val="decimal"/>
      <w:suff w:val="nothing"/>
      <w:lvlText w:val="%1、"/>
      <w:lvlJc w:val="left"/>
    </w:lvl>
  </w:abstractNum>
  <w:abstractNum w:abstractNumId="56">
    <w:nsid w:val="78E5D669"/>
    <w:multiLevelType w:val="singleLevel"/>
    <w:tmpl w:val="78E5D669"/>
    <w:lvl w:ilvl="0" w:tentative="0">
      <w:start w:val="1"/>
      <w:numFmt w:val="decimalEnclosedCircleChinese"/>
      <w:pStyle w:val="8"/>
      <w:suff w:val="nothing"/>
      <w:lvlText w:val="%1　"/>
      <w:lvlJc w:val="left"/>
      <w:pPr>
        <w:ind w:left="0" w:firstLine="400"/>
      </w:pPr>
      <w:rPr>
        <w:rFonts w:hint="eastAsia"/>
      </w:rPr>
    </w:lvl>
  </w:abstractNum>
  <w:abstractNum w:abstractNumId="57">
    <w:nsid w:val="78F46A60"/>
    <w:multiLevelType w:val="singleLevel"/>
    <w:tmpl w:val="78F46A60"/>
    <w:lvl w:ilvl="0" w:tentative="0">
      <w:start w:val="1"/>
      <w:numFmt w:val="decimal"/>
      <w:suff w:val="nothing"/>
      <w:lvlText w:val="%1、"/>
      <w:lvlJc w:val="left"/>
    </w:lvl>
  </w:abstractNum>
  <w:abstractNum w:abstractNumId="58">
    <w:nsid w:val="7B7175D5"/>
    <w:multiLevelType w:val="singleLevel"/>
    <w:tmpl w:val="7B7175D5"/>
    <w:lvl w:ilvl="0" w:tentative="0">
      <w:start w:val="1"/>
      <w:numFmt w:val="decimal"/>
      <w:suff w:val="nothing"/>
      <w:lvlText w:val="%1、"/>
      <w:lvlJc w:val="left"/>
    </w:lvl>
  </w:abstractNum>
  <w:num w:numId="1">
    <w:abstractNumId w:val="24"/>
  </w:num>
  <w:num w:numId="2">
    <w:abstractNumId w:val="20"/>
  </w:num>
  <w:num w:numId="3">
    <w:abstractNumId w:val="25"/>
  </w:num>
  <w:num w:numId="4">
    <w:abstractNumId w:val="23"/>
  </w:num>
  <w:num w:numId="5">
    <w:abstractNumId w:val="56"/>
  </w:num>
  <w:num w:numId="6">
    <w:abstractNumId w:val="15"/>
  </w:num>
  <w:num w:numId="7">
    <w:abstractNumId w:val="10"/>
  </w:num>
  <w:num w:numId="8">
    <w:abstractNumId w:val="1"/>
  </w:num>
  <w:num w:numId="9">
    <w:abstractNumId w:val="54"/>
  </w:num>
  <w:num w:numId="10">
    <w:abstractNumId w:val="45"/>
  </w:num>
  <w:num w:numId="11">
    <w:abstractNumId w:val="2"/>
  </w:num>
  <w:num w:numId="12">
    <w:abstractNumId w:val="5"/>
  </w:num>
  <w:num w:numId="13">
    <w:abstractNumId w:val="44"/>
  </w:num>
  <w:num w:numId="14">
    <w:abstractNumId w:val="9"/>
  </w:num>
  <w:num w:numId="15">
    <w:abstractNumId w:val="3"/>
  </w:num>
  <w:num w:numId="16">
    <w:abstractNumId w:val="57"/>
  </w:num>
  <w:num w:numId="17">
    <w:abstractNumId w:val="19"/>
  </w:num>
  <w:num w:numId="18">
    <w:abstractNumId w:val="35"/>
  </w:num>
  <w:num w:numId="19">
    <w:abstractNumId w:val="39"/>
  </w:num>
  <w:num w:numId="20">
    <w:abstractNumId w:val="28"/>
  </w:num>
  <w:num w:numId="21">
    <w:abstractNumId w:val="30"/>
  </w:num>
  <w:num w:numId="22">
    <w:abstractNumId w:val="55"/>
  </w:num>
  <w:num w:numId="23">
    <w:abstractNumId w:val="32"/>
  </w:num>
  <w:num w:numId="24">
    <w:abstractNumId w:val="11"/>
  </w:num>
  <w:num w:numId="25">
    <w:abstractNumId w:val="4"/>
  </w:num>
  <w:num w:numId="26">
    <w:abstractNumId w:val="48"/>
  </w:num>
  <w:num w:numId="27">
    <w:abstractNumId w:val="34"/>
  </w:num>
  <w:num w:numId="28">
    <w:abstractNumId w:val="33"/>
  </w:num>
  <w:num w:numId="29">
    <w:abstractNumId w:val="0"/>
  </w:num>
  <w:num w:numId="30">
    <w:abstractNumId w:val="16"/>
  </w:num>
  <w:num w:numId="31">
    <w:abstractNumId w:val="52"/>
  </w:num>
  <w:num w:numId="32">
    <w:abstractNumId w:val="29"/>
  </w:num>
  <w:num w:numId="33">
    <w:abstractNumId w:val="47"/>
  </w:num>
  <w:num w:numId="34">
    <w:abstractNumId w:val="7"/>
  </w:num>
  <w:num w:numId="35">
    <w:abstractNumId w:val="42"/>
  </w:num>
  <w:num w:numId="36">
    <w:abstractNumId w:val="13"/>
  </w:num>
  <w:num w:numId="37">
    <w:abstractNumId w:val="26"/>
  </w:num>
  <w:num w:numId="38">
    <w:abstractNumId w:val="6"/>
  </w:num>
  <w:num w:numId="39">
    <w:abstractNumId w:val="53"/>
  </w:num>
  <w:num w:numId="40">
    <w:abstractNumId w:val="17"/>
  </w:num>
  <w:num w:numId="41">
    <w:abstractNumId w:val="8"/>
  </w:num>
  <w:num w:numId="42">
    <w:abstractNumId w:val="36"/>
  </w:num>
  <w:num w:numId="43">
    <w:abstractNumId w:val="46"/>
  </w:num>
  <w:num w:numId="44">
    <w:abstractNumId w:val="37"/>
  </w:num>
  <w:num w:numId="45">
    <w:abstractNumId w:val="41"/>
  </w:num>
  <w:num w:numId="46">
    <w:abstractNumId w:val="22"/>
  </w:num>
  <w:num w:numId="47">
    <w:abstractNumId w:val="40"/>
  </w:num>
  <w:num w:numId="48">
    <w:abstractNumId w:val="50"/>
  </w:num>
  <w:num w:numId="49">
    <w:abstractNumId w:val="18"/>
  </w:num>
  <w:num w:numId="50">
    <w:abstractNumId w:val="21"/>
  </w:num>
  <w:num w:numId="51">
    <w:abstractNumId w:val="58"/>
  </w:num>
  <w:num w:numId="52">
    <w:abstractNumId w:val="31"/>
  </w:num>
  <w:num w:numId="53">
    <w:abstractNumId w:val="12"/>
  </w:num>
  <w:num w:numId="54">
    <w:abstractNumId w:val="27"/>
  </w:num>
  <w:num w:numId="55">
    <w:abstractNumId w:val="49"/>
  </w:num>
  <w:num w:numId="56">
    <w:abstractNumId w:val="14"/>
  </w:num>
  <w:num w:numId="57">
    <w:abstractNumId w:val="51"/>
  </w:num>
  <w:num w:numId="58">
    <w:abstractNumId w:val="38"/>
  </w:num>
  <w:num w:numId="5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NjRhOGFiMGMxMTM5YzJhZGIzZjM4ZjIxYWVkZWYifQ=="/>
  </w:docVars>
  <w:rsids>
    <w:rsidRoot w:val="00172A27"/>
    <w:rsid w:val="00515F27"/>
    <w:rsid w:val="008A3CC9"/>
    <w:rsid w:val="0151028D"/>
    <w:rsid w:val="017C6BCC"/>
    <w:rsid w:val="01AD7E3E"/>
    <w:rsid w:val="01B460D7"/>
    <w:rsid w:val="01D32117"/>
    <w:rsid w:val="021E6E96"/>
    <w:rsid w:val="02610A74"/>
    <w:rsid w:val="028562FC"/>
    <w:rsid w:val="02BD2F21"/>
    <w:rsid w:val="02D7069C"/>
    <w:rsid w:val="035F53F4"/>
    <w:rsid w:val="038408BE"/>
    <w:rsid w:val="03850A9B"/>
    <w:rsid w:val="03CE6A77"/>
    <w:rsid w:val="04595F81"/>
    <w:rsid w:val="045B70AB"/>
    <w:rsid w:val="04BE5D52"/>
    <w:rsid w:val="0550730C"/>
    <w:rsid w:val="05E30443"/>
    <w:rsid w:val="05EB5ECF"/>
    <w:rsid w:val="061613DE"/>
    <w:rsid w:val="063E36C0"/>
    <w:rsid w:val="06866F37"/>
    <w:rsid w:val="06962EB2"/>
    <w:rsid w:val="0779406B"/>
    <w:rsid w:val="07955720"/>
    <w:rsid w:val="079F1486"/>
    <w:rsid w:val="07E33CEA"/>
    <w:rsid w:val="081C1546"/>
    <w:rsid w:val="082377A8"/>
    <w:rsid w:val="08B1763E"/>
    <w:rsid w:val="08C1245D"/>
    <w:rsid w:val="09280946"/>
    <w:rsid w:val="09814BFC"/>
    <w:rsid w:val="09DB1652"/>
    <w:rsid w:val="09EB7091"/>
    <w:rsid w:val="0A0E013C"/>
    <w:rsid w:val="0A3038F2"/>
    <w:rsid w:val="0A407F46"/>
    <w:rsid w:val="0A64572A"/>
    <w:rsid w:val="0AA428ED"/>
    <w:rsid w:val="0AA714D9"/>
    <w:rsid w:val="0AFB6B79"/>
    <w:rsid w:val="0AFD14A7"/>
    <w:rsid w:val="0B5C6DF8"/>
    <w:rsid w:val="0BF40511"/>
    <w:rsid w:val="0C2A1D28"/>
    <w:rsid w:val="0C2A1EFF"/>
    <w:rsid w:val="0C3F3D37"/>
    <w:rsid w:val="0C402975"/>
    <w:rsid w:val="0C9C2E7C"/>
    <w:rsid w:val="0D361218"/>
    <w:rsid w:val="0D484B1A"/>
    <w:rsid w:val="0DFB0A46"/>
    <w:rsid w:val="0E4B3243"/>
    <w:rsid w:val="0EEE4267"/>
    <w:rsid w:val="0F402AEB"/>
    <w:rsid w:val="0F5B1187"/>
    <w:rsid w:val="0F7138D9"/>
    <w:rsid w:val="0F844E09"/>
    <w:rsid w:val="10D32280"/>
    <w:rsid w:val="114A0233"/>
    <w:rsid w:val="116D198D"/>
    <w:rsid w:val="12530A8A"/>
    <w:rsid w:val="126976C2"/>
    <w:rsid w:val="12B35B9F"/>
    <w:rsid w:val="12C8228D"/>
    <w:rsid w:val="12FC766C"/>
    <w:rsid w:val="13010329"/>
    <w:rsid w:val="134973C7"/>
    <w:rsid w:val="139F36E8"/>
    <w:rsid w:val="13E31341"/>
    <w:rsid w:val="147A4973"/>
    <w:rsid w:val="14944DC1"/>
    <w:rsid w:val="14D308D7"/>
    <w:rsid w:val="1507663D"/>
    <w:rsid w:val="158922B8"/>
    <w:rsid w:val="161C704A"/>
    <w:rsid w:val="16FD1A7E"/>
    <w:rsid w:val="17022D94"/>
    <w:rsid w:val="17052FCA"/>
    <w:rsid w:val="17485EDF"/>
    <w:rsid w:val="17660522"/>
    <w:rsid w:val="176D0D40"/>
    <w:rsid w:val="177B4A3F"/>
    <w:rsid w:val="179E5FAE"/>
    <w:rsid w:val="17A5702A"/>
    <w:rsid w:val="1997497A"/>
    <w:rsid w:val="19C545EF"/>
    <w:rsid w:val="19CC0E35"/>
    <w:rsid w:val="19D3461A"/>
    <w:rsid w:val="19DD0C24"/>
    <w:rsid w:val="1A226EB4"/>
    <w:rsid w:val="1A2C70C8"/>
    <w:rsid w:val="1A496214"/>
    <w:rsid w:val="1A7867B1"/>
    <w:rsid w:val="1AB86E34"/>
    <w:rsid w:val="1AC61053"/>
    <w:rsid w:val="1AC612CA"/>
    <w:rsid w:val="1AC77DF3"/>
    <w:rsid w:val="1B45261C"/>
    <w:rsid w:val="1B9D2F07"/>
    <w:rsid w:val="1BC76A1C"/>
    <w:rsid w:val="1BE33304"/>
    <w:rsid w:val="1C033E58"/>
    <w:rsid w:val="1C0409F1"/>
    <w:rsid w:val="1CB56A05"/>
    <w:rsid w:val="1CF22655"/>
    <w:rsid w:val="1D416B4A"/>
    <w:rsid w:val="1D4412AD"/>
    <w:rsid w:val="1D475F9B"/>
    <w:rsid w:val="1D854C69"/>
    <w:rsid w:val="1D90307A"/>
    <w:rsid w:val="1DD60DAC"/>
    <w:rsid w:val="1DEB27C9"/>
    <w:rsid w:val="1E075E82"/>
    <w:rsid w:val="1E1D3550"/>
    <w:rsid w:val="1E362831"/>
    <w:rsid w:val="1E9C21E3"/>
    <w:rsid w:val="1EDB32B9"/>
    <w:rsid w:val="1EFD54D7"/>
    <w:rsid w:val="1F27082D"/>
    <w:rsid w:val="1F345F1C"/>
    <w:rsid w:val="1F6026F8"/>
    <w:rsid w:val="1F727695"/>
    <w:rsid w:val="1F783821"/>
    <w:rsid w:val="1F82519B"/>
    <w:rsid w:val="1FC13923"/>
    <w:rsid w:val="1FD2544F"/>
    <w:rsid w:val="1FE63FDF"/>
    <w:rsid w:val="20130876"/>
    <w:rsid w:val="20284AA1"/>
    <w:rsid w:val="2049674E"/>
    <w:rsid w:val="2092131F"/>
    <w:rsid w:val="20E46316"/>
    <w:rsid w:val="210A238E"/>
    <w:rsid w:val="215443BC"/>
    <w:rsid w:val="21B262A2"/>
    <w:rsid w:val="22005591"/>
    <w:rsid w:val="226002AE"/>
    <w:rsid w:val="22BD2FB3"/>
    <w:rsid w:val="22C63C28"/>
    <w:rsid w:val="22D26E94"/>
    <w:rsid w:val="23040BE2"/>
    <w:rsid w:val="23362D65"/>
    <w:rsid w:val="235E3097"/>
    <w:rsid w:val="238633DA"/>
    <w:rsid w:val="23B260FB"/>
    <w:rsid w:val="23CF2729"/>
    <w:rsid w:val="242E1E5B"/>
    <w:rsid w:val="24804C0F"/>
    <w:rsid w:val="24B1476C"/>
    <w:rsid w:val="24BC16D2"/>
    <w:rsid w:val="24C320F0"/>
    <w:rsid w:val="254C1452"/>
    <w:rsid w:val="25734437"/>
    <w:rsid w:val="257E315D"/>
    <w:rsid w:val="25D329A5"/>
    <w:rsid w:val="25DC3CC8"/>
    <w:rsid w:val="25EF20C0"/>
    <w:rsid w:val="262C024B"/>
    <w:rsid w:val="26661F28"/>
    <w:rsid w:val="26805761"/>
    <w:rsid w:val="26DF4C20"/>
    <w:rsid w:val="26EC0632"/>
    <w:rsid w:val="26ED5E31"/>
    <w:rsid w:val="26FB090D"/>
    <w:rsid w:val="27245D5E"/>
    <w:rsid w:val="27333BA0"/>
    <w:rsid w:val="275F6A9D"/>
    <w:rsid w:val="27906E0B"/>
    <w:rsid w:val="28067EC5"/>
    <w:rsid w:val="280D24E3"/>
    <w:rsid w:val="286345FC"/>
    <w:rsid w:val="287A51CB"/>
    <w:rsid w:val="288320BA"/>
    <w:rsid w:val="28A67014"/>
    <w:rsid w:val="28AD21B9"/>
    <w:rsid w:val="28EA6E12"/>
    <w:rsid w:val="29891D7B"/>
    <w:rsid w:val="299610F0"/>
    <w:rsid w:val="29B844D4"/>
    <w:rsid w:val="29EA3F8B"/>
    <w:rsid w:val="2A133F4D"/>
    <w:rsid w:val="2A457D30"/>
    <w:rsid w:val="2A503CAE"/>
    <w:rsid w:val="2AC01CDC"/>
    <w:rsid w:val="2B7C3E84"/>
    <w:rsid w:val="2B7D1A9B"/>
    <w:rsid w:val="2BC358BA"/>
    <w:rsid w:val="2BD23265"/>
    <w:rsid w:val="2C413268"/>
    <w:rsid w:val="2C7D671D"/>
    <w:rsid w:val="2C8763E0"/>
    <w:rsid w:val="2CAE3FDF"/>
    <w:rsid w:val="2CEA10DC"/>
    <w:rsid w:val="2D375369"/>
    <w:rsid w:val="2D440889"/>
    <w:rsid w:val="2D446C0A"/>
    <w:rsid w:val="2D9151FC"/>
    <w:rsid w:val="2DB86239"/>
    <w:rsid w:val="2E167B2D"/>
    <w:rsid w:val="2E3F3416"/>
    <w:rsid w:val="2E7A444E"/>
    <w:rsid w:val="2E92727B"/>
    <w:rsid w:val="2F2B3D2C"/>
    <w:rsid w:val="2F317A2D"/>
    <w:rsid w:val="2F7C41F6"/>
    <w:rsid w:val="30867B8A"/>
    <w:rsid w:val="308B4CCC"/>
    <w:rsid w:val="30B24C40"/>
    <w:rsid w:val="30CB0E19"/>
    <w:rsid w:val="30DF7DB7"/>
    <w:rsid w:val="313A5B54"/>
    <w:rsid w:val="316E0A09"/>
    <w:rsid w:val="31CA60F3"/>
    <w:rsid w:val="31CA749A"/>
    <w:rsid w:val="31F31E08"/>
    <w:rsid w:val="322023D2"/>
    <w:rsid w:val="32C07965"/>
    <w:rsid w:val="32C52F4B"/>
    <w:rsid w:val="3328683D"/>
    <w:rsid w:val="33340A67"/>
    <w:rsid w:val="334F71CB"/>
    <w:rsid w:val="336709FF"/>
    <w:rsid w:val="336B44BE"/>
    <w:rsid w:val="34012B06"/>
    <w:rsid w:val="34376744"/>
    <w:rsid w:val="344B09DD"/>
    <w:rsid w:val="3476311C"/>
    <w:rsid w:val="34AC23C3"/>
    <w:rsid w:val="34B41D3C"/>
    <w:rsid w:val="34EB77D9"/>
    <w:rsid w:val="351D2C85"/>
    <w:rsid w:val="3565559F"/>
    <w:rsid w:val="363D43BD"/>
    <w:rsid w:val="36787811"/>
    <w:rsid w:val="367F55C8"/>
    <w:rsid w:val="368A369C"/>
    <w:rsid w:val="36B764E6"/>
    <w:rsid w:val="36FA42F3"/>
    <w:rsid w:val="374568BD"/>
    <w:rsid w:val="378E68BC"/>
    <w:rsid w:val="378F03BE"/>
    <w:rsid w:val="37D70E05"/>
    <w:rsid w:val="37E750E0"/>
    <w:rsid w:val="37ED5C91"/>
    <w:rsid w:val="3806374D"/>
    <w:rsid w:val="38177F6A"/>
    <w:rsid w:val="38C56C0D"/>
    <w:rsid w:val="391C544F"/>
    <w:rsid w:val="39237582"/>
    <w:rsid w:val="399004DE"/>
    <w:rsid w:val="39991B3D"/>
    <w:rsid w:val="39C437BA"/>
    <w:rsid w:val="39D045FD"/>
    <w:rsid w:val="39E7351A"/>
    <w:rsid w:val="3A00614F"/>
    <w:rsid w:val="3A064DE8"/>
    <w:rsid w:val="3A13316A"/>
    <w:rsid w:val="3A63239F"/>
    <w:rsid w:val="3A764156"/>
    <w:rsid w:val="3A8B3E58"/>
    <w:rsid w:val="3B030BCD"/>
    <w:rsid w:val="3B5424B5"/>
    <w:rsid w:val="3B7031CA"/>
    <w:rsid w:val="3B844B5E"/>
    <w:rsid w:val="3B8F578B"/>
    <w:rsid w:val="3BA64AD4"/>
    <w:rsid w:val="3BA937CA"/>
    <w:rsid w:val="3BAA2C01"/>
    <w:rsid w:val="3BEA5DE3"/>
    <w:rsid w:val="3C3C0C29"/>
    <w:rsid w:val="3C72437D"/>
    <w:rsid w:val="3C82655A"/>
    <w:rsid w:val="3D12658D"/>
    <w:rsid w:val="3D2E13A2"/>
    <w:rsid w:val="3D753CFC"/>
    <w:rsid w:val="3E057DC5"/>
    <w:rsid w:val="3E29711A"/>
    <w:rsid w:val="3E66362B"/>
    <w:rsid w:val="3E6E33A4"/>
    <w:rsid w:val="3FA25FD3"/>
    <w:rsid w:val="3FB86A12"/>
    <w:rsid w:val="3FC61055"/>
    <w:rsid w:val="400022B6"/>
    <w:rsid w:val="4060611C"/>
    <w:rsid w:val="40F97FCD"/>
    <w:rsid w:val="412862D6"/>
    <w:rsid w:val="41321502"/>
    <w:rsid w:val="41390199"/>
    <w:rsid w:val="414209E7"/>
    <w:rsid w:val="41A31DCD"/>
    <w:rsid w:val="428238ED"/>
    <w:rsid w:val="42935686"/>
    <w:rsid w:val="43635059"/>
    <w:rsid w:val="43657023"/>
    <w:rsid w:val="438028C2"/>
    <w:rsid w:val="43D958D2"/>
    <w:rsid w:val="44D178CE"/>
    <w:rsid w:val="461122F8"/>
    <w:rsid w:val="465E65AC"/>
    <w:rsid w:val="468D639D"/>
    <w:rsid w:val="46B16773"/>
    <w:rsid w:val="46FA6554"/>
    <w:rsid w:val="476D353F"/>
    <w:rsid w:val="4775666C"/>
    <w:rsid w:val="47A51A37"/>
    <w:rsid w:val="47CD5197"/>
    <w:rsid w:val="47DE6214"/>
    <w:rsid w:val="48552265"/>
    <w:rsid w:val="486B0822"/>
    <w:rsid w:val="48783F3D"/>
    <w:rsid w:val="48D15D77"/>
    <w:rsid w:val="48DB0132"/>
    <w:rsid w:val="48EF207D"/>
    <w:rsid w:val="48FD1AAC"/>
    <w:rsid w:val="49102FBC"/>
    <w:rsid w:val="491F0F09"/>
    <w:rsid w:val="4949088C"/>
    <w:rsid w:val="49555E23"/>
    <w:rsid w:val="49772BA6"/>
    <w:rsid w:val="49A22492"/>
    <w:rsid w:val="49B822BE"/>
    <w:rsid w:val="49D55468"/>
    <w:rsid w:val="49E17422"/>
    <w:rsid w:val="49EC2EDA"/>
    <w:rsid w:val="4A5303F3"/>
    <w:rsid w:val="4A7A27F3"/>
    <w:rsid w:val="4B4B1131"/>
    <w:rsid w:val="4BE716BD"/>
    <w:rsid w:val="4C147F79"/>
    <w:rsid w:val="4C15775E"/>
    <w:rsid w:val="4C3B6831"/>
    <w:rsid w:val="4CB132D9"/>
    <w:rsid w:val="4CE23492"/>
    <w:rsid w:val="4D102985"/>
    <w:rsid w:val="4D3949F3"/>
    <w:rsid w:val="4D8A346A"/>
    <w:rsid w:val="4DAC3D6D"/>
    <w:rsid w:val="4DB50BA7"/>
    <w:rsid w:val="4E7152F0"/>
    <w:rsid w:val="4E8E3E40"/>
    <w:rsid w:val="4EA137C4"/>
    <w:rsid w:val="4EB65774"/>
    <w:rsid w:val="4ED56612"/>
    <w:rsid w:val="4EFE7162"/>
    <w:rsid w:val="4F642BF4"/>
    <w:rsid w:val="4FA2493D"/>
    <w:rsid w:val="4FB370CE"/>
    <w:rsid w:val="50324731"/>
    <w:rsid w:val="505E27DF"/>
    <w:rsid w:val="51280A74"/>
    <w:rsid w:val="51287FF1"/>
    <w:rsid w:val="513D7292"/>
    <w:rsid w:val="51683353"/>
    <w:rsid w:val="517F376D"/>
    <w:rsid w:val="518C70F7"/>
    <w:rsid w:val="519E44FA"/>
    <w:rsid w:val="51BA7336"/>
    <w:rsid w:val="521A27A8"/>
    <w:rsid w:val="52711528"/>
    <w:rsid w:val="52770E61"/>
    <w:rsid w:val="527F57A5"/>
    <w:rsid w:val="52AE1D17"/>
    <w:rsid w:val="530B4801"/>
    <w:rsid w:val="5325057D"/>
    <w:rsid w:val="533327F9"/>
    <w:rsid w:val="5334486D"/>
    <w:rsid w:val="533979F5"/>
    <w:rsid w:val="538B712B"/>
    <w:rsid w:val="538D16B4"/>
    <w:rsid w:val="53E42516"/>
    <w:rsid w:val="541C372E"/>
    <w:rsid w:val="554B049B"/>
    <w:rsid w:val="55695908"/>
    <w:rsid w:val="55772E88"/>
    <w:rsid w:val="55B70F44"/>
    <w:rsid w:val="55C4071A"/>
    <w:rsid w:val="55DB4F23"/>
    <w:rsid w:val="55DF20EA"/>
    <w:rsid w:val="55E41121"/>
    <w:rsid w:val="561701B6"/>
    <w:rsid w:val="567D3352"/>
    <w:rsid w:val="572B16B9"/>
    <w:rsid w:val="573F02D2"/>
    <w:rsid w:val="57803FD4"/>
    <w:rsid w:val="57E11A89"/>
    <w:rsid w:val="581B7EE6"/>
    <w:rsid w:val="58656D3B"/>
    <w:rsid w:val="58B119B3"/>
    <w:rsid w:val="58E638CD"/>
    <w:rsid w:val="5A4F7D25"/>
    <w:rsid w:val="5AAE1CF4"/>
    <w:rsid w:val="5AD34C18"/>
    <w:rsid w:val="5ADB7388"/>
    <w:rsid w:val="5B150DAA"/>
    <w:rsid w:val="5B170044"/>
    <w:rsid w:val="5B537036"/>
    <w:rsid w:val="5B5D2748"/>
    <w:rsid w:val="5B5E4B32"/>
    <w:rsid w:val="5B9751AF"/>
    <w:rsid w:val="5BA2171B"/>
    <w:rsid w:val="5BCD58AE"/>
    <w:rsid w:val="5BD710D5"/>
    <w:rsid w:val="5C722DB0"/>
    <w:rsid w:val="5CBF418B"/>
    <w:rsid w:val="5CCC6754"/>
    <w:rsid w:val="5D644C42"/>
    <w:rsid w:val="5D6B7DAA"/>
    <w:rsid w:val="5DDE3FB9"/>
    <w:rsid w:val="5E6C2C55"/>
    <w:rsid w:val="5EED4ED8"/>
    <w:rsid w:val="5F0C439F"/>
    <w:rsid w:val="5F1D27DB"/>
    <w:rsid w:val="5F252300"/>
    <w:rsid w:val="5F332882"/>
    <w:rsid w:val="5FE04EDE"/>
    <w:rsid w:val="60311622"/>
    <w:rsid w:val="60887566"/>
    <w:rsid w:val="60894FE8"/>
    <w:rsid w:val="60A100E1"/>
    <w:rsid w:val="60E11DFE"/>
    <w:rsid w:val="612C0CF8"/>
    <w:rsid w:val="614A5CFF"/>
    <w:rsid w:val="615613E6"/>
    <w:rsid w:val="626D7E2E"/>
    <w:rsid w:val="62D43C73"/>
    <w:rsid w:val="63351251"/>
    <w:rsid w:val="640961F0"/>
    <w:rsid w:val="645C7457"/>
    <w:rsid w:val="64896A9D"/>
    <w:rsid w:val="64B64DB5"/>
    <w:rsid w:val="64C93FE9"/>
    <w:rsid w:val="64E944BB"/>
    <w:rsid w:val="650F1C88"/>
    <w:rsid w:val="65181094"/>
    <w:rsid w:val="651D50E2"/>
    <w:rsid w:val="654B64BD"/>
    <w:rsid w:val="6596393C"/>
    <w:rsid w:val="659A177E"/>
    <w:rsid w:val="65B55B98"/>
    <w:rsid w:val="65BA4B55"/>
    <w:rsid w:val="65BD5F1B"/>
    <w:rsid w:val="66CD08B8"/>
    <w:rsid w:val="66FF10EB"/>
    <w:rsid w:val="6812377C"/>
    <w:rsid w:val="684A2D93"/>
    <w:rsid w:val="687609CD"/>
    <w:rsid w:val="68DB4E9A"/>
    <w:rsid w:val="6912486B"/>
    <w:rsid w:val="695928D6"/>
    <w:rsid w:val="69596EFE"/>
    <w:rsid w:val="695D6F0A"/>
    <w:rsid w:val="69605225"/>
    <w:rsid w:val="69D73AC6"/>
    <w:rsid w:val="6A1763DB"/>
    <w:rsid w:val="6A1816E9"/>
    <w:rsid w:val="6A213957"/>
    <w:rsid w:val="6A8C2D36"/>
    <w:rsid w:val="6ACA1D06"/>
    <w:rsid w:val="6B022971"/>
    <w:rsid w:val="6B4C723D"/>
    <w:rsid w:val="6B80767E"/>
    <w:rsid w:val="6B8E0ED8"/>
    <w:rsid w:val="6BC242E4"/>
    <w:rsid w:val="6C3D203B"/>
    <w:rsid w:val="6C871E20"/>
    <w:rsid w:val="6CAB6648"/>
    <w:rsid w:val="6E1B10F8"/>
    <w:rsid w:val="6E285208"/>
    <w:rsid w:val="6E3E67F4"/>
    <w:rsid w:val="6E4A1D6A"/>
    <w:rsid w:val="6EBF4A3C"/>
    <w:rsid w:val="6F121A02"/>
    <w:rsid w:val="6F234CE6"/>
    <w:rsid w:val="6F9A7FCE"/>
    <w:rsid w:val="6FBB1BF5"/>
    <w:rsid w:val="6FE0051B"/>
    <w:rsid w:val="715F5F12"/>
    <w:rsid w:val="71906908"/>
    <w:rsid w:val="71AD1A11"/>
    <w:rsid w:val="71EC65F8"/>
    <w:rsid w:val="71FC1FD8"/>
    <w:rsid w:val="724265FE"/>
    <w:rsid w:val="7284546B"/>
    <w:rsid w:val="72B5375D"/>
    <w:rsid w:val="72E47870"/>
    <w:rsid w:val="72E73B71"/>
    <w:rsid w:val="72F35EE9"/>
    <w:rsid w:val="73133AF6"/>
    <w:rsid w:val="733A365C"/>
    <w:rsid w:val="733B4302"/>
    <w:rsid w:val="733E26DE"/>
    <w:rsid w:val="7388468C"/>
    <w:rsid w:val="739E527F"/>
    <w:rsid w:val="73D91302"/>
    <w:rsid w:val="746D277B"/>
    <w:rsid w:val="74725282"/>
    <w:rsid w:val="74EA4083"/>
    <w:rsid w:val="75380F90"/>
    <w:rsid w:val="754B1A18"/>
    <w:rsid w:val="763B60A3"/>
    <w:rsid w:val="76453216"/>
    <w:rsid w:val="76A2766B"/>
    <w:rsid w:val="76FE2502"/>
    <w:rsid w:val="7727737F"/>
    <w:rsid w:val="774D7926"/>
    <w:rsid w:val="77602DCF"/>
    <w:rsid w:val="779F3235"/>
    <w:rsid w:val="78684457"/>
    <w:rsid w:val="78934D8F"/>
    <w:rsid w:val="78EE230D"/>
    <w:rsid w:val="7958440D"/>
    <w:rsid w:val="798C03BE"/>
    <w:rsid w:val="79AA642B"/>
    <w:rsid w:val="79C025FA"/>
    <w:rsid w:val="79F006ED"/>
    <w:rsid w:val="7A635363"/>
    <w:rsid w:val="7A6D4A2B"/>
    <w:rsid w:val="7AAC067D"/>
    <w:rsid w:val="7B082882"/>
    <w:rsid w:val="7B1238F9"/>
    <w:rsid w:val="7B7326F6"/>
    <w:rsid w:val="7BE91E5D"/>
    <w:rsid w:val="7C327193"/>
    <w:rsid w:val="7C541C93"/>
    <w:rsid w:val="7C644FC4"/>
    <w:rsid w:val="7C976E7B"/>
    <w:rsid w:val="7CF05BA0"/>
    <w:rsid w:val="7D0556F7"/>
    <w:rsid w:val="7D4A2077"/>
    <w:rsid w:val="7DBC65C0"/>
    <w:rsid w:val="7DDD71DA"/>
    <w:rsid w:val="7E1D44A5"/>
    <w:rsid w:val="7E7C24AF"/>
    <w:rsid w:val="7E8B3929"/>
    <w:rsid w:val="7E9A3444"/>
    <w:rsid w:val="7EE44A9B"/>
    <w:rsid w:val="7F1D5214"/>
    <w:rsid w:val="7F336232"/>
    <w:rsid w:val="7F79055A"/>
    <w:rsid w:val="7F87709B"/>
    <w:rsid w:val="7F902593"/>
    <w:rsid w:val="7FF25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ind w:firstLine="0" w:firstLineChars="0"/>
      <w:jc w:val="left"/>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snapToGrid w:val="0"/>
      <w:spacing w:beforeLines="0" w:beforeAutospacing="0" w:after="100" w:afterLines="100" w:afterAutospacing="0" w:line="700" w:lineRule="exact"/>
      <w:ind w:firstLine="0" w:firstLineChars="0"/>
      <w:jc w:val="center"/>
      <w:outlineLvl w:val="0"/>
    </w:pPr>
    <w:rPr>
      <w:rFonts w:eastAsia="方正小标宋简体"/>
      <w:kern w:val="44"/>
      <w:sz w:val="44"/>
    </w:rPr>
  </w:style>
  <w:style w:type="paragraph" w:styleId="3">
    <w:name w:val="heading 2"/>
    <w:basedOn w:val="1"/>
    <w:next w:val="4"/>
    <w:unhideWhenUsed/>
    <w:qFormat/>
    <w:uiPriority w:val="0"/>
    <w:pPr>
      <w:numPr>
        <w:ilvl w:val="0"/>
        <w:numId w:val="1"/>
      </w:numPr>
      <w:snapToGrid/>
      <w:ind w:firstLine="482" w:firstLineChars="200"/>
      <w:outlineLvl w:val="1"/>
    </w:pPr>
    <w:rPr>
      <w:rFonts w:ascii="sans-serif" w:hAnsi="sans-serif" w:eastAsia="宋体" w:cs="sans-serif"/>
      <w:b/>
      <w:bCs/>
      <w:sz w:val="24"/>
      <w:szCs w:val="24"/>
      <w:shd w:val="clear" w:fill="FFFFFF"/>
    </w:rPr>
  </w:style>
  <w:style w:type="paragraph" w:styleId="5">
    <w:name w:val="heading 3"/>
    <w:basedOn w:val="1"/>
    <w:next w:val="4"/>
    <w:unhideWhenUsed/>
    <w:qFormat/>
    <w:uiPriority w:val="0"/>
    <w:pPr>
      <w:keepNext/>
      <w:keepLines/>
      <w:numPr>
        <w:ilvl w:val="0"/>
        <w:numId w:val="2"/>
      </w:numPr>
      <w:spacing w:beforeLines="0" w:afterLines="0"/>
      <w:ind w:firstLine="880" w:firstLineChars="200"/>
      <w:outlineLvl w:val="2"/>
    </w:pPr>
    <w:rPr>
      <w:rFonts w:ascii="宋体" w:hAnsi="宋体" w:eastAsia="宋体" w:cs="宋体"/>
      <w:sz w:val="24"/>
      <w:szCs w:val="24"/>
    </w:rPr>
  </w:style>
  <w:style w:type="paragraph" w:styleId="6">
    <w:name w:val="heading 4"/>
    <w:basedOn w:val="1"/>
    <w:next w:val="4"/>
    <w:unhideWhenUsed/>
    <w:qFormat/>
    <w:uiPriority w:val="0"/>
    <w:pPr>
      <w:keepNext/>
      <w:keepLines/>
      <w:numPr>
        <w:ilvl w:val="0"/>
        <w:numId w:val="3"/>
      </w:numPr>
      <w:spacing w:beforeLines="0" w:beforeAutospacing="0" w:afterLines="0" w:afterAutospacing="0" w:line="360" w:lineRule="auto"/>
      <w:ind w:left="0"/>
      <w:outlineLvl w:val="3"/>
    </w:pPr>
    <w:rPr>
      <w:rFonts w:ascii="Arial" w:hAnsi="Arial"/>
      <w:b/>
    </w:rPr>
  </w:style>
  <w:style w:type="paragraph" w:styleId="7">
    <w:name w:val="heading 5"/>
    <w:basedOn w:val="1"/>
    <w:next w:val="4"/>
    <w:unhideWhenUsed/>
    <w:qFormat/>
    <w:uiPriority w:val="0"/>
    <w:pPr>
      <w:keepNext/>
      <w:keepLines/>
      <w:numPr>
        <w:ilvl w:val="0"/>
        <w:numId w:val="4"/>
      </w:numPr>
      <w:snapToGrid w:val="0"/>
      <w:spacing w:beforeLines="0" w:beforeAutospacing="0" w:afterLines="0" w:afterAutospacing="0" w:line="360" w:lineRule="auto"/>
      <w:ind w:left="0"/>
      <w:outlineLvl w:val="4"/>
    </w:pPr>
  </w:style>
  <w:style w:type="paragraph" w:styleId="8">
    <w:name w:val="heading 6"/>
    <w:basedOn w:val="1"/>
    <w:next w:val="4"/>
    <w:unhideWhenUsed/>
    <w:qFormat/>
    <w:uiPriority w:val="0"/>
    <w:pPr>
      <w:keepNext/>
      <w:keepLines/>
      <w:numPr>
        <w:ilvl w:val="0"/>
        <w:numId w:val="5"/>
      </w:numPr>
      <w:snapToGrid w:val="0"/>
      <w:spacing w:beforeLines="0" w:beforeAutospacing="0" w:afterLines="0" w:afterAutospacing="0" w:line="360" w:lineRule="auto"/>
      <w:outlineLvl w:val="5"/>
    </w:pPr>
    <w:rPr>
      <w:rFonts w:ascii="Arial" w:hAnsi="Arial"/>
    </w:rPr>
  </w:style>
  <w:style w:type="paragraph" w:styleId="9">
    <w:name w:val="heading 7"/>
    <w:basedOn w:val="1"/>
    <w:next w:val="4"/>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18">
    <w:name w:val="Default Paragraph Font"/>
    <w:unhideWhenUsed/>
    <w:qFormat/>
    <w:uiPriority w:val="1"/>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10">
    <w:name w:val="Body Text Indent"/>
    <w:basedOn w:val="1"/>
    <w:unhideWhenUsed/>
    <w:qFormat/>
    <w:uiPriority w:val="99"/>
    <w:pPr>
      <w:spacing w:after="120" w:afterLines="0" w:afterAutospacing="0"/>
      <w:ind w:left="420" w:leftChars="200"/>
    </w:pPr>
  </w:style>
  <w:style w:type="paragraph" w:styleId="11">
    <w:name w:val="footer"/>
    <w:basedOn w:val="1"/>
    <w:link w:val="22"/>
    <w:semiHidden/>
    <w:qFormat/>
    <w:uiPriority w:val="99"/>
    <w:pPr>
      <w:tabs>
        <w:tab w:val="center" w:pos="4153"/>
        <w:tab w:val="right" w:pos="8306"/>
      </w:tabs>
      <w:snapToGrid w:val="0"/>
      <w:jc w:val="left"/>
    </w:pPr>
    <w:rPr>
      <w:rFonts w:cs="Times New Roman"/>
      <w:sz w:val="18"/>
      <w:szCs w:val="18"/>
    </w:rPr>
  </w:style>
  <w:style w:type="paragraph" w:styleId="12">
    <w:name w:val="header"/>
    <w:basedOn w:val="1"/>
    <w:link w:val="23"/>
    <w:semiHidden/>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13">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4">
    <w:name w:val="Body Text First Indent"/>
    <w:unhideWhenUsed/>
    <w:qFormat/>
    <w:uiPriority w:val="99"/>
    <w:pPr>
      <w:ind w:firstLine="420" w:firstLineChars="100"/>
    </w:pPr>
    <w:rPr>
      <w:rFonts w:ascii="Times New Roman" w:hAnsi="Times New Roman" w:eastAsia="仿宋_GB2312" w:cs="Times New Roman"/>
      <w:sz w:val="32"/>
    </w:rPr>
  </w:style>
  <w:style w:type="paragraph" w:styleId="15">
    <w:name w:val="Body Text First Indent 2"/>
    <w:basedOn w:val="10"/>
    <w:unhideWhenUsed/>
    <w:qFormat/>
    <w:uiPriority w:val="99"/>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Emphasis"/>
    <w:basedOn w:val="18"/>
    <w:qFormat/>
    <w:uiPriority w:val="0"/>
    <w:rPr>
      <w:i/>
    </w:rPr>
  </w:style>
  <w:style w:type="character" w:styleId="21">
    <w:name w:val="Hyperlink"/>
    <w:basedOn w:val="18"/>
    <w:unhideWhenUsed/>
    <w:qFormat/>
    <w:uiPriority w:val="99"/>
    <w:rPr>
      <w:color w:val="0000FF"/>
      <w:u w:val="single"/>
    </w:rPr>
  </w:style>
  <w:style w:type="character" w:customStyle="1" w:styleId="22">
    <w:name w:val="页脚 Char"/>
    <w:link w:val="11"/>
    <w:semiHidden/>
    <w:qFormat/>
    <w:locked/>
    <w:uiPriority w:val="99"/>
    <w:rPr>
      <w:rFonts w:cs="Times New Roman"/>
      <w:sz w:val="18"/>
      <w:szCs w:val="18"/>
    </w:rPr>
  </w:style>
  <w:style w:type="character" w:customStyle="1" w:styleId="23">
    <w:name w:val="页眉 Char"/>
    <w:link w:val="12"/>
    <w:semiHidden/>
    <w:qFormat/>
    <w:locked/>
    <w:uiPriority w:val="99"/>
    <w:rPr>
      <w:rFonts w:cs="Times New Roman"/>
      <w:sz w:val="18"/>
      <w:szCs w:val="18"/>
    </w:rPr>
  </w:style>
  <w:style w:type="character" w:customStyle="1" w:styleId="24">
    <w:name w:val="font31"/>
    <w:basedOn w:val="18"/>
    <w:qFormat/>
    <w:uiPriority w:val="0"/>
    <w:rPr>
      <w:rFonts w:hint="eastAsia" w:ascii="宋体" w:hAnsi="宋体" w:eastAsia="宋体" w:cs="宋体"/>
      <w:color w:val="C00000"/>
      <w:sz w:val="20"/>
      <w:szCs w:val="20"/>
      <w:u w:val="none"/>
    </w:rPr>
  </w:style>
  <w:style w:type="character" w:customStyle="1" w:styleId="25">
    <w:name w:val="font11"/>
    <w:basedOn w:val="18"/>
    <w:qFormat/>
    <w:uiPriority w:val="0"/>
    <w:rPr>
      <w:rFonts w:hint="eastAsia" w:ascii="宋体" w:hAnsi="宋体" w:eastAsia="宋体" w:cs="宋体"/>
      <w:color w:val="000000"/>
      <w:sz w:val="20"/>
      <w:szCs w:val="20"/>
      <w:u w:val="none"/>
    </w:rPr>
  </w:style>
  <w:style w:type="character" w:customStyle="1" w:styleId="26">
    <w:name w:val="font51"/>
    <w:basedOn w:val="18"/>
    <w:qFormat/>
    <w:uiPriority w:val="0"/>
    <w:rPr>
      <w:rFonts w:hint="eastAsia" w:ascii="宋体" w:hAnsi="宋体" w:eastAsia="宋体" w:cs="宋体"/>
      <w:color w:val="FF0000"/>
      <w:sz w:val="20"/>
      <w:szCs w:val="20"/>
      <w:u w:val="none"/>
    </w:rPr>
  </w:style>
  <w:style w:type="character" w:customStyle="1" w:styleId="27">
    <w:name w:val="font41"/>
    <w:basedOn w:val="1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2962</Words>
  <Characters>3198</Characters>
  <Lines>0</Lines>
  <Paragraphs>0</Paragraphs>
  <TotalTime>66</TotalTime>
  <ScaleCrop>false</ScaleCrop>
  <LinksUpToDate>false</LinksUpToDate>
  <CharactersWithSpaces>3281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2024-08-18T06:39:00Z</dcterms:created>
  <dc:creator>Administrator</dc:creator>
  <cp:lastModifiedBy>该叫啥名呢</cp:lastModifiedBy>
  <dcterms:modified xsi:type="dcterms:W3CDTF">2025-03-05T08:24:55Z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AA6CE37031AD4CFDBAAC5953C371E772_13</vt:lpwstr>
  </property>
  <property fmtid="{D5CDD505-2E9C-101B-9397-08002B2CF9AE}" pid="4" name="KSOTemplateDocerSaveRecord">
    <vt:lpwstr>eyJoZGlkIjoiYTVmYWVkZWJiNGE4ZjMwYWI5NDEzYjA4Njg2YTM3ZDMiLCJ1c2VySWQiOiIzMTQwODE5OTcifQ==</vt:lpwstr>
  </property>
</Properties>
</file>