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65C68">
      <w:pPr>
        <w:pStyle w:val="2"/>
        <w:spacing w:line="360" w:lineRule="auto"/>
        <w:rPr>
          <w:rFonts w:hint="default"/>
          <w:lang w:val="en-US" w:eastAsia="zh-CN"/>
        </w:rPr>
      </w:pPr>
      <w:r>
        <w:rPr>
          <w:rFonts w:hint="eastAsia"/>
          <w:lang w:eastAsia="zh-CN"/>
        </w:rPr>
        <w:t>附件2</w:t>
      </w:r>
      <w:r>
        <w:rPr>
          <w:rFonts w:hint="eastAsia"/>
          <w:lang w:val="en-US" w:eastAsia="zh-CN"/>
        </w:rPr>
        <w:t xml:space="preserve"> </w:t>
      </w:r>
      <w:r>
        <w:rPr>
          <w:rFonts w:hint="eastAsia"/>
          <w:lang w:eastAsia="zh-CN"/>
        </w:rPr>
        <w:t>杭州市住宅工程质量潜在缺陷保险风险管理机构服务工作手册（</w:t>
      </w:r>
      <w:r>
        <w:rPr>
          <w:rFonts w:hint="eastAsia"/>
          <w:lang w:val="en-US" w:eastAsia="zh-CN"/>
        </w:rPr>
        <w:t>2024版）</w:t>
      </w:r>
    </w:p>
    <w:p w14:paraId="49D81D56">
      <w:pPr>
        <w:pStyle w:val="5"/>
        <w:kinsoku/>
        <w:adjustRightInd/>
        <w:snapToGrid/>
        <w:spacing w:line="360" w:lineRule="auto"/>
        <w:ind w:firstLine="480"/>
        <w:textAlignment w:val="auto"/>
        <w:rPr>
          <w:color w:val="auto"/>
          <w:sz w:val="24"/>
          <w:szCs w:val="24"/>
          <w:lang w:eastAsia="zh-CN"/>
        </w:rPr>
      </w:pPr>
    </w:p>
    <w:p w14:paraId="7E6E50FF">
      <w:pPr>
        <w:pStyle w:val="5"/>
        <w:kinsoku/>
        <w:adjustRightInd/>
        <w:snapToGrid/>
        <w:spacing w:line="360" w:lineRule="auto"/>
        <w:ind w:firstLine="480"/>
        <w:textAlignment w:val="auto"/>
        <w:rPr>
          <w:color w:val="auto"/>
          <w:sz w:val="24"/>
          <w:szCs w:val="24"/>
          <w:lang w:eastAsia="zh-CN"/>
        </w:rPr>
      </w:pPr>
    </w:p>
    <w:p w14:paraId="143F60E1">
      <w:pPr>
        <w:pStyle w:val="5"/>
        <w:kinsoku/>
        <w:adjustRightInd/>
        <w:snapToGrid/>
        <w:spacing w:line="360" w:lineRule="auto"/>
        <w:ind w:firstLine="480"/>
        <w:textAlignment w:val="auto"/>
        <w:rPr>
          <w:color w:val="auto"/>
          <w:sz w:val="24"/>
          <w:szCs w:val="24"/>
          <w:lang w:eastAsia="zh-CN"/>
        </w:rPr>
      </w:pPr>
    </w:p>
    <w:p w14:paraId="1DDDC794">
      <w:pPr>
        <w:pStyle w:val="5"/>
        <w:kinsoku/>
        <w:adjustRightInd/>
        <w:snapToGrid/>
        <w:spacing w:line="360" w:lineRule="auto"/>
        <w:ind w:firstLine="480"/>
        <w:textAlignment w:val="auto"/>
        <w:rPr>
          <w:color w:val="auto"/>
          <w:sz w:val="24"/>
          <w:szCs w:val="24"/>
          <w:lang w:eastAsia="zh-CN"/>
        </w:rPr>
      </w:pPr>
    </w:p>
    <w:p w14:paraId="76915779">
      <w:pPr>
        <w:pStyle w:val="5"/>
        <w:kinsoku/>
        <w:adjustRightInd/>
        <w:snapToGrid/>
        <w:spacing w:line="360" w:lineRule="auto"/>
        <w:ind w:firstLine="480"/>
        <w:textAlignment w:val="auto"/>
        <w:rPr>
          <w:color w:val="auto"/>
          <w:sz w:val="24"/>
          <w:szCs w:val="24"/>
          <w:lang w:eastAsia="zh-CN"/>
        </w:rPr>
      </w:pPr>
    </w:p>
    <w:p w14:paraId="236C3811">
      <w:pPr>
        <w:pStyle w:val="5"/>
        <w:kinsoku/>
        <w:adjustRightInd/>
        <w:snapToGrid/>
        <w:spacing w:line="360" w:lineRule="auto"/>
        <w:ind w:firstLine="480"/>
        <w:textAlignment w:val="auto"/>
        <w:rPr>
          <w:color w:val="auto"/>
          <w:sz w:val="24"/>
          <w:szCs w:val="24"/>
          <w:lang w:eastAsia="zh-CN"/>
        </w:rPr>
      </w:pPr>
    </w:p>
    <w:p w14:paraId="4137E02E">
      <w:pPr>
        <w:pStyle w:val="5"/>
        <w:kinsoku/>
        <w:adjustRightInd/>
        <w:snapToGrid/>
        <w:spacing w:line="360" w:lineRule="auto"/>
        <w:ind w:firstLine="480"/>
        <w:textAlignment w:val="auto"/>
        <w:rPr>
          <w:color w:val="auto"/>
          <w:sz w:val="24"/>
          <w:szCs w:val="24"/>
          <w:lang w:eastAsia="zh-CN"/>
        </w:rPr>
      </w:pPr>
    </w:p>
    <w:p w14:paraId="2F5BBC05">
      <w:pPr>
        <w:pStyle w:val="5"/>
        <w:widowControl w:val="0"/>
        <w:kinsoku/>
        <w:adjustRightInd/>
        <w:snapToGrid/>
        <w:spacing w:line="360" w:lineRule="auto"/>
        <w:ind w:firstLine="0" w:firstLineChars="0"/>
        <w:jc w:val="center"/>
        <w:textAlignment w:val="auto"/>
        <w:rPr>
          <w:b/>
          <w:bCs/>
          <w:color w:val="auto"/>
          <w:sz w:val="40"/>
          <w:szCs w:val="40"/>
          <w:lang w:eastAsia="zh-CN"/>
        </w:rPr>
      </w:pPr>
      <w:r>
        <w:rPr>
          <w:rFonts w:hint="eastAsia"/>
          <w:b/>
          <w:bCs/>
          <w:color w:val="auto"/>
          <w:sz w:val="40"/>
          <w:szCs w:val="40"/>
          <w:lang w:eastAsia="zh-CN"/>
        </w:rPr>
        <w:t>杭州市住宅工程质量潜在缺陷保险</w:t>
      </w:r>
    </w:p>
    <w:p w14:paraId="3CEB1CA9">
      <w:pPr>
        <w:pStyle w:val="5"/>
        <w:widowControl w:val="0"/>
        <w:kinsoku/>
        <w:adjustRightInd/>
        <w:snapToGrid/>
        <w:spacing w:line="360" w:lineRule="auto"/>
        <w:ind w:firstLine="0" w:firstLineChars="0"/>
        <w:jc w:val="center"/>
        <w:textAlignment w:val="auto"/>
        <w:rPr>
          <w:b/>
          <w:bCs/>
          <w:color w:val="auto"/>
          <w:sz w:val="40"/>
          <w:szCs w:val="40"/>
          <w:lang w:eastAsia="zh-CN"/>
        </w:rPr>
      </w:pPr>
      <w:r>
        <w:rPr>
          <w:rFonts w:hint="eastAsia"/>
          <w:b/>
          <w:bCs/>
          <w:color w:val="auto"/>
          <w:sz w:val="40"/>
          <w:szCs w:val="40"/>
          <w:lang w:eastAsia="zh-CN"/>
        </w:rPr>
        <w:t>风险管理机构服务工作手册</w:t>
      </w:r>
    </w:p>
    <w:p w14:paraId="2E3E13C0">
      <w:pPr>
        <w:widowControl w:val="0"/>
        <w:kinsoku/>
        <w:adjustRightInd/>
        <w:snapToGrid/>
        <w:spacing w:line="360" w:lineRule="auto"/>
        <w:jc w:val="center"/>
        <w:textAlignment w:val="auto"/>
        <w:rPr>
          <w:rFonts w:hint="default" w:ascii="仿宋" w:hAnsi="仿宋" w:eastAsia="仿宋" w:cs="仿宋"/>
          <w:b/>
          <w:bCs/>
          <w:color w:val="auto"/>
          <w:sz w:val="40"/>
          <w:szCs w:val="40"/>
          <w:lang w:val="en-US" w:eastAsia="zh-CN" w:bidi="zh-CN"/>
        </w:rPr>
      </w:pPr>
      <w:r>
        <w:rPr>
          <w:rFonts w:hint="eastAsia" w:ascii="仿宋" w:hAnsi="仿宋" w:eastAsia="仿宋" w:cs="仿宋"/>
          <w:b/>
          <w:bCs/>
          <w:color w:val="auto"/>
          <w:sz w:val="40"/>
          <w:szCs w:val="40"/>
          <w:lang w:val="zh-CN" w:eastAsia="zh-CN" w:bidi="zh-CN"/>
        </w:rPr>
        <w:t>（</w:t>
      </w:r>
      <w:r>
        <w:rPr>
          <w:rFonts w:hint="eastAsia" w:ascii="仿宋" w:hAnsi="仿宋" w:eastAsia="仿宋" w:cs="仿宋"/>
          <w:b/>
          <w:bCs/>
          <w:color w:val="auto"/>
          <w:sz w:val="40"/>
          <w:szCs w:val="40"/>
          <w:lang w:val="en-US" w:eastAsia="zh-CN" w:bidi="zh-CN"/>
        </w:rPr>
        <w:t>2024版）</w:t>
      </w:r>
      <w:bookmarkStart w:id="0" w:name="_GoBack"/>
      <w:bookmarkEnd w:id="0"/>
    </w:p>
    <w:p w14:paraId="137EE541">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p>
    <w:p w14:paraId="2DAAC87D">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p>
    <w:p w14:paraId="033CFABB">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p>
    <w:p w14:paraId="7E25605D">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p>
    <w:p w14:paraId="23DA0126">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p>
    <w:p w14:paraId="2C86CBE8">
      <w:pPr>
        <w:widowControl w:val="0"/>
        <w:kinsoku/>
        <w:adjustRightInd/>
        <w:snapToGrid/>
        <w:spacing w:line="360" w:lineRule="auto"/>
        <w:jc w:val="center"/>
        <w:textAlignment w:val="auto"/>
        <w:rPr>
          <w:rFonts w:ascii="仿宋" w:hAnsi="仿宋" w:eastAsia="仿宋" w:cs="仿宋"/>
          <w:b/>
          <w:bCs/>
          <w:color w:val="auto"/>
          <w:sz w:val="40"/>
          <w:szCs w:val="40"/>
          <w:lang w:val="zh-CN" w:eastAsia="zh-CN" w:bidi="zh-CN"/>
        </w:rPr>
      </w:pPr>
      <w:r>
        <w:rPr>
          <w:rFonts w:hint="eastAsia" w:ascii="仿宋" w:hAnsi="仿宋" w:eastAsia="仿宋" w:cs="仿宋"/>
          <w:b/>
          <w:bCs/>
          <w:color w:val="auto"/>
          <w:sz w:val="40"/>
          <w:szCs w:val="40"/>
          <w:lang w:val="zh-CN" w:eastAsia="zh-CN" w:bidi="zh-CN"/>
        </w:rPr>
        <w:t>202</w:t>
      </w:r>
      <w:r>
        <w:rPr>
          <w:rFonts w:hint="eastAsia" w:ascii="仿宋" w:hAnsi="仿宋" w:eastAsia="仿宋" w:cs="仿宋"/>
          <w:b/>
          <w:bCs/>
          <w:color w:val="auto"/>
          <w:sz w:val="40"/>
          <w:szCs w:val="40"/>
          <w:lang w:eastAsia="zh-CN" w:bidi="zh-CN"/>
        </w:rPr>
        <w:t>4</w:t>
      </w:r>
      <w:r>
        <w:rPr>
          <w:rFonts w:hint="eastAsia" w:ascii="仿宋" w:hAnsi="仿宋" w:eastAsia="仿宋" w:cs="仿宋"/>
          <w:b/>
          <w:bCs/>
          <w:color w:val="auto"/>
          <w:sz w:val="40"/>
          <w:szCs w:val="40"/>
          <w:lang w:val="zh-CN" w:eastAsia="zh-CN" w:bidi="zh-CN"/>
        </w:rPr>
        <w:t>年</w:t>
      </w:r>
      <w:r>
        <w:rPr>
          <w:rFonts w:hint="eastAsia" w:ascii="仿宋" w:hAnsi="仿宋" w:eastAsia="仿宋" w:cs="仿宋"/>
          <w:b/>
          <w:bCs/>
          <w:color w:val="auto"/>
          <w:sz w:val="40"/>
          <w:szCs w:val="40"/>
          <w:lang w:eastAsia="zh-CN" w:bidi="zh-CN"/>
        </w:rPr>
        <w:t>3</w:t>
      </w:r>
      <w:r>
        <w:rPr>
          <w:rFonts w:hint="eastAsia" w:ascii="仿宋" w:hAnsi="仿宋" w:eastAsia="仿宋" w:cs="仿宋"/>
          <w:b/>
          <w:bCs/>
          <w:color w:val="auto"/>
          <w:sz w:val="40"/>
          <w:szCs w:val="40"/>
          <w:lang w:val="zh-CN" w:eastAsia="zh-CN" w:bidi="zh-CN"/>
        </w:rPr>
        <w:t>月</w:t>
      </w:r>
    </w:p>
    <w:p w14:paraId="784C65EC">
      <w:pPr>
        <w:pStyle w:val="5"/>
        <w:widowControl w:val="0"/>
        <w:kinsoku/>
        <w:adjustRightInd/>
        <w:snapToGrid/>
        <w:spacing w:line="360" w:lineRule="auto"/>
        <w:ind w:firstLine="0" w:firstLineChars="0"/>
        <w:jc w:val="center"/>
        <w:textAlignment w:val="auto"/>
        <w:rPr>
          <w:rFonts w:hint="eastAsia"/>
          <w:b/>
          <w:bCs/>
          <w:color w:val="auto"/>
          <w:sz w:val="28"/>
          <w:szCs w:val="28"/>
          <w:lang w:eastAsia="zh-CN"/>
        </w:rPr>
        <w:sectPr>
          <w:footerReference r:id="rId3" w:type="default"/>
          <w:pgSz w:w="11900" w:h="16820"/>
          <w:pgMar w:top="1440" w:right="1800" w:bottom="1440" w:left="1800" w:header="0" w:footer="1344" w:gutter="0"/>
          <w:pgNumType w:start="1"/>
          <w:cols w:space="720" w:num="1"/>
        </w:sectPr>
      </w:pPr>
    </w:p>
    <w:p w14:paraId="28055947">
      <w:pPr>
        <w:pStyle w:val="5"/>
        <w:widowControl w:val="0"/>
        <w:kinsoku/>
        <w:adjustRightInd/>
        <w:snapToGrid/>
        <w:spacing w:line="360" w:lineRule="auto"/>
        <w:ind w:firstLine="0" w:firstLineChars="0"/>
        <w:jc w:val="center"/>
        <w:textAlignment w:val="auto"/>
        <w:rPr>
          <w:b/>
          <w:bCs/>
          <w:color w:val="auto"/>
          <w:sz w:val="28"/>
          <w:szCs w:val="28"/>
          <w:lang w:eastAsia="zh-CN"/>
        </w:rPr>
      </w:pPr>
      <w:r>
        <w:rPr>
          <w:rFonts w:hint="eastAsia"/>
          <w:b/>
          <w:bCs/>
          <w:color w:val="auto"/>
          <w:sz w:val="28"/>
          <w:szCs w:val="28"/>
          <w:lang w:eastAsia="zh-CN"/>
        </w:rPr>
        <w:t>前言</w:t>
      </w:r>
    </w:p>
    <w:p w14:paraId="52B4D6B1">
      <w:pPr>
        <w:pStyle w:val="5"/>
        <w:kinsoku/>
        <w:adjustRightInd/>
        <w:snapToGrid/>
        <w:spacing w:line="360" w:lineRule="auto"/>
        <w:ind w:firstLine="480"/>
        <w:textAlignment w:val="auto"/>
        <w:rPr>
          <w:color w:val="auto"/>
          <w:sz w:val="24"/>
          <w:szCs w:val="24"/>
          <w:lang w:eastAsia="zh-CN"/>
        </w:rPr>
      </w:pPr>
    </w:p>
    <w:p w14:paraId="0D5A0BF4">
      <w:pPr>
        <w:kinsoku/>
        <w:adjustRightInd/>
        <w:snapToGrid/>
        <w:spacing w:line="360" w:lineRule="auto"/>
        <w:ind w:firstLine="480" w:firstLineChars="200"/>
        <w:jc w:val="both"/>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根据</w:t>
      </w:r>
      <w:r>
        <w:rPr>
          <w:rFonts w:hint="eastAsia" w:ascii="仿宋" w:hAnsi="仿宋" w:eastAsia="仿宋" w:cs="仿宋"/>
          <w:color w:val="auto"/>
          <w:spacing w:val="0"/>
          <w:sz w:val="24"/>
          <w:szCs w:val="24"/>
          <w:lang w:eastAsia="zh-CN"/>
        </w:rPr>
        <w:t>《杭州市住宅工程质量潜在缺陷保险试点实施办法》</w:t>
      </w:r>
      <w:r>
        <w:rPr>
          <w:rFonts w:hint="eastAsia" w:ascii="仿宋" w:hAnsi="仿宋" w:eastAsia="仿宋" w:cs="仿宋"/>
          <w:color w:val="auto"/>
          <w:sz w:val="24"/>
          <w:szCs w:val="24"/>
          <w:lang w:eastAsia="zh-CN"/>
        </w:rPr>
        <w:t>的文件精神，为加强风险管理机构服务规范性与专业性管理，结合杭州市住宅工程质量潜在缺陷保险（以下简称住宅质量保险）发展现状及风险管理工作的实际，编制组经广泛调查研究，认真总结实践经验，并在广泛征求意见的基础上，制定了《杭州住宅工程质量潜在缺陷保险风险管理机构服务工作手册》。</w:t>
      </w:r>
    </w:p>
    <w:p w14:paraId="4E154654">
      <w:pPr>
        <w:kinsoku/>
        <w:adjustRightInd/>
        <w:snapToGrid/>
        <w:spacing w:line="360" w:lineRule="auto"/>
        <w:ind w:firstLine="480" w:firstLineChars="200"/>
        <w:jc w:val="both"/>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本手册的主要内容是：1.总则；2.术语；3.风险管理机构设置与职责；4.工作内容与要求；5.</w:t>
      </w:r>
      <w:r>
        <w:rPr>
          <w:rFonts w:hint="eastAsia" w:ascii="仿宋" w:hAnsi="仿宋" w:eastAsia="仿宋" w:cs="仿宋"/>
          <w:color w:val="auto"/>
          <w:sz w:val="24"/>
          <w:szCs w:val="24"/>
          <w:lang w:val="en-US" w:eastAsia="zh-CN"/>
        </w:rPr>
        <w:t>附录</w:t>
      </w:r>
      <w:r>
        <w:rPr>
          <w:rFonts w:hint="eastAsia" w:ascii="仿宋" w:hAnsi="仿宋" w:eastAsia="仿宋" w:cs="仿宋"/>
          <w:color w:val="auto"/>
          <w:sz w:val="24"/>
          <w:szCs w:val="24"/>
          <w:lang w:eastAsia="zh-CN"/>
        </w:rPr>
        <w:t>。</w:t>
      </w:r>
    </w:p>
    <w:p w14:paraId="1BABD43D">
      <w:pPr>
        <w:pStyle w:val="5"/>
        <w:kinsoku/>
        <w:adjustRightInd/>
        <w:snapToGrid/>
        <w:spacing w:line="360" w:lineRule="auto"/>
        <w:ind w:firstLine="480"/>
        <w:textAlignment w:val="auto"/>
        <w:rPr>
          <w:color w:val="auto"/>
          <w:sz w:val="24"/>
          <w:szCs w:val="24"/>
          <w:lang w:eastAsia="zh-CN"/>
        </w:rPr>
      </w:pPr>
      <w:r>
        <w:rPr>
          <w:rFonts w:hint="eastAsia"/>
          <w:color w:val="auto"/>
          <w:sz w:val="24"/>
          <w:szCs w:val="24"/>
          <w:lang w:eastAsia="zh-CN"/>
        </w:rPr>
        <w:t>本手册作为杭州地区风险管理机构业务开展的重要依据性文件，必须严格执行，本手册由</w:t>
      </w:r>
      <w:r>
        <w:rPr>
          <w:rFonts w:hint="eastAsia" w:cs="仿宋"/>
          <w:b w:val="0"/>
          <w:bCs w:val="0"/>
          <w:color w:val="auto"/>
          <w:sz w:val="24"/>
          <w:szCs w:val="24"/>
          <w:lang w:val="en-US" w:eastAsia="zh-CN"/>
        </w:rPr>
        <w:t>杭州市建设工程质量安全管理协会质量保险分会</w:t>
      </w:r>
      <w:r>
        <w:rPr>
          <w:rFonts w:hint="eastAsia"/>
          <w:color w:val="auto"/>
          <w:sz w:val="24"/>
          <w:szCs w:val="24"/>
          <w:lang w:eastAsia="zh-CN"/>
        </w:rPr>
        <w:t>负责管理和手册内容解释。</w:t>
      </w:r>
    </w:p>
    <w:p w14:paraId="6494797B">
      <w:pPr>
        <w:pStyle w:val="5"/>
        <w:kinsoku/>
        <w:adjustRightInd/>
        <w:snapToGrid/>
        <w:spacing w:line="360" w:lineRule="auto"/>
        <w:ind w:firstLine="480"/>
        <w:textAlignment w:val="auto"/>
        <w:rPr>
          <w:color w:val="auto"/>
          <w:sz w:val="24"/>
          <w:szCs w:val="24"/>
          <w:lang w:eastAsia="zh-CN"/>
        </w:rPr>
      </w:pPr>
    </w:p>
    <w:p w14:paraId="2670C332">
      <w:pPr>
        <w:pStyle w:val="5"/>
        <w:kinsoku/>
        <w:adjustRightInd/>
        <w:snapToGrid/>
        <w:spacing w:line="360" w:lineRule="auto"/>
        <w:ind w:firstLine="480"/>
        <w:jc w:val="center"/>
        <w:textAlignment w:val="auto"/>
        <w:rPr>
          <w:color w:val="auto"/>
          <w:sz w:val="24"/>
          <w:szCs w:val="24"/>
          <w:lang w:eastAsia="zh-CN"/>
        </w:rPr>
        <w:sectPr>
          <w:footerReference r:id="rId4" w:type="default"/>
          <w:pgSz w:w="11900" w:h="16820"/>
          <w:pgMar w:top="1440" w:right="1800" w:bottom="1440" w:left="1800" w:header="0" w:footer="1344" w:gutter="0"/>
          <w:pgNumType w:start="1"/>
          <w:cols w:space="720" w:num="1"/>
        </w:sectPr>
      </w:pPr>
    </w:p>
    <w:p w14:paraId="1EFFDBD5">
      <w:pPr>
        <w:pStyle w:val="5"/>
        <w:kinsoku/>
        <w:adjustRightInd/>
        <w:snapToGrid/>
        <w:spacing w:line="360" w:lineRule="auto"/>
        <w:ind w:firstLine="562"/>
        <w:jc w:val="center"/>
        <w:textAlignment w:val="auto"/>
        <w:rPr>
          <w:b/>
          <w:bCs/>
          <w:color w:val="auto"/>
          <w:sz w:val="28"/>
          <w:szCs w:val="28"/>
          <w:lang w:eastAsia="zh-CN"/>
        </w:rPr>
      </w:pPr>
      <w:r>
        <w:rPr>
          <w:rFonts w:hint="eastAsia"/>
          <w:b/>
          <w:bCs/>
          <w:color w:val="auto"/>
          <w:sz w:val="28"/>
          <w:szCs w:val="28"/>
          <w:lang w:eastAsia="zh-CN"/>
        </w:rPr>
        <w:t>目录</w:t>
      </w:r>
    </w:p>
    <w:p w14:paraId="6A78E1DC">
      <w:pPr>
        <w:pStyle w:val="10"/>
        <w:ind w:firstLine="420"/>
      </w:pPr>
    </w:p>
    <w:p w14:paraId="6498756D">
      <w:pPr>
        <w:pStyle w:val="10"/>
        <w:ind w:firstLine="42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w:t>
      </w:r>
      <w:r>
        <w:rPr>
          <w:rFonts w:hint="eastAsia" w:ascii="仿宋" w:hAnsi="仿宋" w:eastAsia="仿宋" w:cs="仿宋"/>
          <w:highlight w:val="none"/>
        </w:rPr>
        <w:t>总则..........................................................1</w:t>
      </w:r>
    </w:p>
    <w:p w14:paraId="4B44BC88">
      <w:pPr>
        <w:pStyle w:val="10"/>
        <w:ind w:firstLine="42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w:t>
      </w:r>
      <w:r>
        <w:rPr>
          <w:rFonts w:hint="eastAsia" w:ascii="仿宋" w:hAnsi="仿宋" w:eastAsia="仿宋" w:cs="仿宋"/>
          <w:highlight w:val="none"/>
        </w:rPr>
        <w:t>术语..........................................................2</w:t>
      </w:r>
    </w:p>
    <w:p w14:paraId="6B5D45D5">
      <w:pPr>
        <w:pStyle w:val="10"/>
        <w:ind w:firstLine="420"/>
        <w:rPr>
          <w:rFonts w:hint="eastAsia"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w:t>
      </w:r>
      <w:r>
        <w:rPr>
          <w:rFonts w:hint="eastAsia" w:ascii="仿宋" w:hAnsi="仿宋" w:eastAsia="仿宋" w:cs="仿宋"/>
          <w:highlight w:val="none"/>
        </w:rPr>
        <w:t>风险管理机构设置与职责........................................3</w:t>
      </w:r>
    </w:p>
    <w:p w14:paraId="4834C5E9">
      <w:pPr>
        <w:pStyle w:val="10"/>
        <w:ind w:firstLine="840" w:firstLineChars="400"/>
        <w:jc w:val="both"/>
        <w:rPr>
          <w:rFonts w:hint="eastAsia" w:ascii="仿宋" w:hAnsi="仿宋" w:eastAsia="仿宋" w:cs="仿宋"/>
          <w:highlight w:val="none"/>
        </w:rPr>
      </w:pPr>
      <w:r>
        <w:rPr>
          <w:rFonts w:hint="eastAsia" w:ascii="仿宋" w:hAnsi="仿宋" w:eastAsia="仿宋" w:cs="仿宋"/>
          <w:highlight w:val="none"/>
        </w:rPr>
        <w:t>3.1</w:t>
      </w:r>
      <w:r>
        <w:rPr>
          <w:rFonts w:hint="eastAsia" w:ascii="仿宋" w:hAnsi="仿宋" w:eastAsia="仿宋" w:cs="仿宋"/>
          <w:highlight w:val="none"/>
          <w:lang w:eastAsia="zh-CN"/>
        </w:rPr>
        <w:t>、</w:t>
      </w:r>
      <w:r>
        <w:rPr>
          <w:rFonts w:hint="eastAsia" w:ascii="仿宋" w:hAnsi="仿宋" w:eastAsia="仿宋" w:cs="仿宋"/>
          <w:highlight w:val="none"/>
        </w:rPr>
        <w:t>一般规定..........................................</w:t>
      </w:r>
      <w:r>
        <w:rPr>
          <w:rFonts w:hint="eastAsia" w:ascii="仿宋" w:hAnsi="仿宋" w:eastAsia="仿宋" w:cs="仿宋"/>
          <w:highlight w:val="none"/>
          <w:lang w:val="en-US" w:eastAsia="zh-CN"/>
        </w:rPr>
        <w:t>....</w:t>
      </w:r>
      <w:r>
        <w:rPr>
          <w:rFonts w:hint="eastAsia" w:ascii="仿宋" w:hAnsi="仿宋" w:eastAsia="仿宋" w:cs="仿宋"/>
          <w:highlight w:val="none"/>
        </w:rPr>
        <w:t>..3</w:t>
      </w:r>
    </w:p>
    <w:p w14:paraId="44B1C1A5">
      <w:pPr>
        <w:pStyle w:val="10"/>
        <w:ind w:firstLine="840" w:firstLineChars="400"/>
        <w:rPr>
          <w:rFonts w:hint="eastAsia" w:ascii="仿宋" w:hAnsi="仿宋" w:eastAsia="仿宋" w:cs="仿宋"/>
          <w:highlight w:val="none"/>
        </w:rPr>
      </w:pPr>
      <w:r>
        <w:rPr>
          <w:rFonts w:hint="eastAsia" w:ascii="仿宋" w:hAnsi="仿宋" w:eastAsia="仿宋" w:cs="仿宋"/>
          <w:highlight w:val="none"/>
        </w:rPr>
        <w:t>3.2</w:t>
      </w:r>
      <w:r>
        <w:rPr>
          <w:rFonts w:hint="eastAsia" w:ascii="仿宋" w:hAnsi="仿宋" w:eastAsia="仿宋" w:cs="仿宋"/>
          <w:highlight w:val="none"/>
          <w:lang w:eastAsia="zh-CN"/>
        </w:rPr>
        <w:t>、</w:t>
      </w:r>
      <w:r>
        <w:rPr>
          <w:rFonts w:hint="eastAsia" w:ascii="仿宋" w:hAnsi="仿宋" w:eastAsia="仿宋" w:cs="仿宋"/>
          <w:highlight w:val="none"/>
        </w:rPr>
        <w:t>机构及岗位设置........................................</w:t>
      </w:r>
      <w:r>
        <w:rPr>
          <w:rFonts w:hint="eastAsia" w:ascii="仿宋" w:hAnsi="仿宋" w:eastAsia="仿宋" w:cs="仿宋"/>
          <w:highlight w:val="none"/>
          <w:lang w:val="en-US" w:eastAsia="zh-CN"/>
        </w:rPr>
        <w:t>..</w:t>
      </w:r>
      <w:r>
        <w:rPr>
          <w:rFonts w:hint="eastAsia" w:ascii="仿宋" w:hAnsi="仿宋" w:eastAsia="仿宋" w:cs="仿宋"/>
          <w:highlight w:val="none"/>
        </w:rPr>
        <w:t>3</w:t>
      </w:r>
    </w:p>
    <w:p w14:paraId="2313638F">
      <w:pPr>
        <w:pStyle w:val="10"/>
        <w:ind w:firstLine="840" w:firstLineChars="400"/>
        <w:rPr>
          <w:rFonts w:hint="eastAsia" w:ascii="仿宋" w:hAnsi="仿宋" w:eastAsia="仿宋" w:cs="仿宋"/>
          <w:highlight w:val="none"/>
        </w:rPr>
      </w:pPr>
      <w:r>
        <w:rPr>
          <w:rFonts w:hint="eastAsia" w:ascii="仿宋" w:hAnsi="仿宋" w:eastAsia="仿宋" w:cs="仿宋"/>
          <w:highlight w:val="none"/>
        </w:rPr>
        <w:t>3.3</w:t>
      </w:r>
      <w:r>
        <w:rPr>
          <w:rFonts w:hint="eastAsia" w:ascii="仿宋" w:hAnsi="仿宋" w:eastAsia="仿宋" w:cs="仿宋"/>
          <w:highlight w:val="none"/>
          <w:lang w:eastAsia="zh-CN"/>
        </w:rPr>
        <w:t>、</w:t>
      </w:r>
      <w:r>
        <w:rPr>
          <w:rFonts w:hint="eastAsia" w:ascii="仿宋" w:hAnsi="仿宋" w:eastAsia="仿宋" w:cs="仿宋"/>
          <w:highlight w:val="none"/>
        </w:rPr>
        <w:t>岗位职责................................................4</w:t>
      </w:r>
    </w:p>
    <w:p w14:paraId="513E914E">
      <w:pPr>
        <w:pStyle w:val="10"/>
        <w:ind w:firstLine="420"/>
        <w:rPr>
          <w:rFonts w:hint="eastAsia"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eastAsia="zh-CN"/>
        </w:rPr>
        <w:t>、</w:t>
      </w:r>
      <w:r>
        <w:rPr>
          <w:rFonts w:hint="eastAsia" w:ascii="仿宋" w:hAnsi="仿宋" w:eastAsia="仿宋" w:cs="仿宋"/>
          <w:highlight w:val="none"/>
        </w:rPr>
        <w:t>工作内容与要求...............................................</w:t>
      </w:r>
      <w:r>
        <w:rPr>
          <w:rFonts w:hint="eastAsia" w:ascii="仿宋" w:hAnsi="仿宋" w:eastAsia="仿宋" w:cs="仿宋"/>
          <w:highlight w:val="none"/>
          <w:lang w:val="en-US" w:eastAsia="zh-CN"/>
        </w:rPr>
        <w:t>.6</w:t>
      </w:r>
    </w:p>
    <w:p w14:paraId="528C0AF3">
      <w:pPr>
        <w:pStyle w:val="10"/>
        <w:ind w:firstLine="840" w:firstLineChars="400"/>
        <w:rPr>
          <w:rFonts w:hint="eastAsia" w:ascii="仿宋" w:hAnsi="仿宋" w:eastAsia="仿宋" w:cs="仿宋"/>
          <w:highlight w:val="none"/>
        </w:rPr>
      </w:pPr>
      <w:r>
        <w:rPr>
          <w:rFonts w:hint="eastAsia" w:ascii="仿宋" w:hAnsi="仿宋" w:eastAsia="仿宋" w:cs="仿宋"/>
          <w:highlight w:val="none"/>
        </w:rPr>
        <w:t>4.1</w:t>
      </w:r>
      <w:r>
        <w:rPr>
          <w:rFonts w:hint="eastAsia" w:ascii="仿宋" w:hAnsi="仿宋" w:eastAsia="仿宋" w:cs="仿宋"/>
          <w:highlight w:val="none"/>
          <w:lang w:eastAsia="zh-CN"/>
        </w:rPr>
        <w:t>、</w:t>
      </w:r>
      <w:r>
        <w:rPr>
          <w:rFonts w:hint="eastAsia" w:ascii="仿宋" w:hAnsi="仿宋" w:eastAsia="仿宋" w:cs="仿宋"/>
          <w:highlight w:val="none"/>
        </w:rPr>
        <w:t>一般规定................................................</w:t>
      </w:r>
      <w:r>
        <w:rPr>
          <w:rFonts w:hint="eastAsia" w:ascii="仿宋" w:hAnsi="仿宋" w:eastAsia="仿宋" w:cs="仿宋"/>
          <w:highlight w:val="none"/>
          <w:lang w:val="en-US" w:eastAsia="zh-CN"/>
        </w:rPr>
        <w:t>6</w:t>
      </w:r>
    </w:p>
    <w:p w14:paraId="3EC49BE6">
      <w:pPr>
        <w:pStyle w:val="10"/>
        <w:ind w:firstLine="840" w:firstLineChars="400"/>
        <w:rPr>
          <w:rFonts w:hint="eastAsia" w:ascii="仿宋" w:hAnsi="仿宋" w:eastAsia="仿宋" w:cs="仿宋"/>
          <w:highlight w:val="none"/>
        </w:rPr>
      </w:pPr>
      <w:r>
        <w:rPr>
          <w:rFonts w:hint="eastAsia" w:ascii="仿宋" w:hAnsi="仿宋" w:eastAsia="仿宋" w:cs="仿宋"/>
          <w:highlight w:val="none"/>
        </w:rPr>
        <w:t>4.2</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准备阶段</w:t>
      </w:r>
      <w:r>
        <w:rPr>
          <w:rFonts w:hint="eastAsia" w:ascii="仿宋" w:hAnsi="仿宋" w:eastAsia="仿宋" w:cs="仿宋"/>
          <w:highlight w:val="none"/>
        </w:rPr>
        <w:t>................................................</w:t>
      </w:r>
      <w:r>
        <w:rPr>
          <w:rFonts w:hint="eastAsia" w:ascii="仿宋" w:hAnsi="仿宋" w:eastAsia="仿宋" w:cs="仿宋"/>
          <w:highlight w:val="none"/>
          <w:lang w:val="en-US" w:eastAsia="zh-CN"/>
        </w:rPr>
        <w:t>7</w:t>
      </w:r>
    </w:p>
    <w:p w14:paraId="1AE60A82">
      <w:pPr>
        <w:pStyle w:val="10"/>
        <w:ind w:firstLine="840" w:firstLineChars="400"/>
        <w:rPr>
          <w:rFonts w:hint="eastAsia" w:ascii="仿宋" w:hAnsi="仿宋" w:eastAsia="仿宋" w:cs="仿宋"/>
          <w:highlight w:val="none"/>
          <w:lang w:val="en-US"/>
        </w:rPr>
      </w:pPr>
      <w:r>
        <w:rPr>
          <w:rFonts w:hint="eastAsia" w:ascii="仿宋" w:hAnsi="仿宋" w:eastAsia="仿宋" w:cs="仿宋"/>
          <w:highlight w:val="none"/>
        </w:rPr>
        <w:t>4.3</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施工</w:t>
      </w:r>
      <w:r>
        <w:rPr>
          <w:rFonts w:hint="eastAsia" w:ascii="仿宋" w:hAnsi="仿宋" w:eastAsia="仿宋" w:cs="仿宋"/>
          <w:highlight w:val="none"/>
        </w:rPr>
        <w:t>阶段................................................</w:t>
      </w:r>
      <w:r>
        <w:rPr>
          <w:rFonts w:hint="eastAsia" w:ascii="仿宋" w:hAnsi="仿宋" w:eastAsia="仿宋" w:cs="仿宋"/>
          <w:highlight w:val="none"/>
          <w:lang w:val="en-US" w:eastAsia="zh-CN"/>
        </w:rPr>
        <w:t>8</w:t>
      </w:r>
    </w:p>
    <w:p w14:paraId="0F2F31DA">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4.4</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回访</w:t>
      </w:r>
      <w:r>
        <w:rPr>
          <w:rFonts w:hint="eastAsia" w:ascii="仿宋" w:hAnsi="仿宋" w:eastAsia="仿宋" w:cs="仿宋"/>
          <w:highlight w:val="none"/>
        </w:rPr>
        <w:t>阶段..............................................</w:t>
      </w:r>
      <w:r>
        <w:rPr>
          <w:rFonts w:hint="eastAsia" w:ascii="仿宋" w:hAnsi="仿宋" w:eastAsia="仿宋" w:cs="仿宋"/>
          <w:highlight w:val="none"/>
          <w:lang w:val="en-US" w:eastAsia="zh-CN"/>
        </w:rPr>
        <w:t>.10</w:t>
      </w:r>
    </w:p>
    <w:p w14:paraId="13D42C9D">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4.5</w:t>
      </w:r>
      <w:r>
        <w:rPr>
          <w:rFonts w:hint="eastAsia" w:ascii="仿宋" w:hAnsi="仿宋" w:eastAsia="仿宋" w:cs="仿宋"/>
          <w:highlight w:val="none"/>
          <w:lang w:eastAsia="zh-CN"/>
        </w:rPr>
        <w:t>、</w:t>
      </w:r>
      <w:r>
        <w:rPr>
          <w:rFonts w:hint="eastAsia" w:ascii="仿宋" w:hAnsi="仿宋" w:eastAsia="仿宋" w:cs="仿宋"/>
          <w:highlight w:val="none"/>
          <w:lang w:val="en-US" w:eastAsia="zh-CN"/>
        </w:rPr>
        <w:t>理赔</w:t>
      </w:r>
      <w:r>
        <w:rPr>
          <w:rFonts w:hint="eastAsia" w:ascii="仿宋" w:hAnsi="仿宋" w:eastAsia="仿宋" w:cs="仿宋"/>
          <w:highlight w:val="none"/>
        </w:rPr>
        <w:t>阶段................................</w:t>
      </w:r>
      <w:r>
        <w:rPr>
          <w:rFonts w:hint="eastAsia" w:ascii="仿宋" w:hAnsi="仿宋" w:eastAsia="仿宋" w:cs="仿宋"/>
          <w:highlight w:val="none"/>
          <w:lang w:val="en-US" w:eastAsia="zh-CN"/>
        </w:rPr>
        <w:t>....</w:t>
      </w:r>
      <w:r>
        <w:rPr>
          <w:rFonts w:hint="eastAsia" w:ascii="仿宋" w:hAnsi="仿宋" w:eastAsia="仿宋" w:cs="仿宋"/>
          <w:highlight w:val="none"/>
        </w:rPr>
        <w:t>...........</w:t>
      </w:r>
      <w:r>
        <w:rPr>
          <w:rFonts w:hint="eastAsia" w:ascii="仿宋" w:hAnsi="仿宋" w:eastAsia="仿宋" w:cs="仿宋"/>
          <w:highlight w:val="none"/>
          <w:lang w:val="en-US" w:eastAsia="zh-CN"/>
        </w:rPr>
        <w:t>14</w:t>
      </w:r>
    </w:p>
    <w:p w14:paraId="21ACEC46">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4.</w:t>
      </w:r>
      <w:r>
        <w:rPr>
          <w:rFonts w:hint="eastAsia" w:ascii="仿宋" w:hAnsi="仿宋" w:eastAsia="仿宋" w:cs="仿宋"/>
          <w:highlight w:val="none"/>
          <w:lang w:val="en-US" w:eastAsia="zh-CN"/>
        </w:rPr>
        <w:t>6、</w:t>
      </w:r>
      <w:r>
        <w:rPr>
          <w:rFonts w:hint="eastAsia" w:ascii="仿宋" w:hAnsi="仿宋" w:eastAsia="仿宋" w:cs="仿宋"/>
          <w:highlight w:val="none"/>
        </w:rPr>
        <w:t>工作交付成果.................</w:t>
      </w:r>
      <w:r>
        <w:rPr>
          <w:rFonts w:hint="eastAsia" w:ascii="仿宋" w:hAnsi="仿宋" w:eastAsia="仿宋" w:cs="仿宋"/>
          <w:highlight w:val="none"/>
          <w:lang w:val="en-US" w:eastAsia="zh-CN"/>
        </w:rPr>
        <w:t>....</w:t>
      </w:r>
      <w:r>
        <w:rPr>
          <w:rFonts w:hint="eastAsia" w:ascii="仿宋" w:hAnsi="仿宋" w:eastAsia="仿宋" w:cs="仿宋"/>
          <w:highlight w:val="none"/>
        </w:rPr>
        <w:t>......................</w:t>
      </w:r>
      <w:r>
        <w:rPr>
          <w:rFonts w:hint="eastAsia" w:ascii="仿宋" w:hAnsi="仿宋" w:eastAsia="仿宋" w:cs="仿宋"/>
          <w:highlight w:val="none"/>
          <w:lang w:val="en-US" w:eastAsia="zh-CN"/>
        </w:rPr>
        <w:t>14</w:t>
      </w:r>
    </w:p>
    <w:p w14:paraId="1169F633">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4.</w:t>
      </w:r>
      <w:r>
        <w:rPr>
          <w:rFonts w:hint="eastAsia" w:ascii="仿宋" w:hAnsi="仿宋" w:eastAsia="仿宋" w:cs="仿宋"/>
          <w:highlight w:val="none"/>
          <w:lang w:val="en-US" w:eastAsia="zh-CN"/>
        </w:rPr>
        <w:t>7</w:t>
      </w:r>
      <w:r>
        <w:rPr>
          <w:rFonts w:hint="eastAsia" w:ascii="仿宋" w:hAnsi="仿宋" w:eastAsia="仿宋" w:cs="仿宋"/>
          <w:highlight w:val="none"/>
          <w:lang w:eastAsia="zh-CN"/>
        </w:rPr>
        <w:t>、</w:t>
      </w:r>
      <w:r>
        <w:rPr>
          <w:rFonts w:hint="eastAsia" w:ascii="仿宋" w:hAnsi="仿宋" w:eastAsia="仿宋" w:cs="仿宋"/>
          <w:highlight w:val="none"/>
        </w:rPr>
        <w:t>档案管理........................................</w:t>
      </w:r>
      <w:r>
        <w:rPr>
          <w:rFonts w:hint="eastAsia" w:ascii="仿宋" w:hAnsi="仿宋" w:eastAsia="仿宋" w:cs="仿宋"/>
          <w:highlight w:val="none"/>
          <w:lang w:val="en-US" w:eastAsia="zh-CN"/>
        </w:rPr>
        <w:t>....</w:t>
      </w:r>
      <w:r>
        <w:rPr>
          <w:rFonts w:hint="eastAsia" w:ascii="仿宋" w:hAnsi="仿宋" w:eastAsia="仿宋" w:cs="仿宋"/>
          <w:highlight w:val="none"/>
        </w:rPr>
        <w:t>...</w:t>
      </w:r>
      <w:r>
        <w:rPr>
          <w:rFonts w:hint="eastAsia" w:ascii="仿宋" w:hAnsi="仿宋" w:eastAsia="仿宋" w:cs="仿宋"/>
          <w:highlight w:val="none"/>
          <w:lang w:val="en-US" w:eastAsia="zh-CN"/>
        </w:rPr>
        <w:t>22</w:t>
      </w:r>
    </w:p>
    <w:p w14:paraId="7F43FC0C">
      <w:pPr>
        <w:pStyle w:val="10"/>
        <w:ind w:firstLine="420"/>
        <w:rPr>
          <w:rFonts w:hint="default" w:ascii="仿宋" w:hAnsi="仿宋" w:eastAsia="仿宋" w:cs="仿宋"/>
          <w:highlight w:val="none"/>
          <w:lang w:val="en-US"/>
        </w:rPr>
      </w:pPr>
      <w:r>
        <w:rPr>
          <w:rFonts w:hint="eastAsia" w:ascii="仿宋" w:hAnsi="仿宋" w:eastAsia="仿宋" w:cs="仿宋"/>
          <w:highlight w:val="none"/>
          <w:lang w:val="en-US" w:eastAsia="zh-CN"/>
        </w:rPr>
        <w:t>5、附录</w:t>
      </w:r>
      <w:r>
        <w:rPr>
          <w:rFonts w:hint="eastAsia" w:ascii="仿宋" w:hAnsi="仿宋" w:eastAsia="仿宋" w:cs="仿宋"/>
          <w:highlight w:val="none"/>
        </w:rPr>
        <w:t>.........................................................</w:t>
      </w:r>
      <w:r>
        <w:rPr>
          <w:rFonts w:hint="eastAsia" w:ascii="仿宋" w:hAnsi="仿宋" w:eastAsia="仿宋" w:cs="仿宋"/>
          <w:highlight w:val="none"/>
          <w:lang w:val="en-US" w:eastAsia="zh-CN"/>
        </w:rPr>
        <w:t>23</w:t>
      </w:r>
    </w:p>
    <w:p w14:paraId="762B0AB8">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附录</w:t>
      </w:r>
      <w:r>
        <w:rPr>
          <w:rFonts w:hint="eastAsia" w:ascii="仿宋" w:hAnsi="仿宋" w:eastAsia="仿宋" w:cs="仿宋"/>
          <w:highlight w:val="none"/>
          <w:lang w:val="en-US" w:eastAsia="zh-CN"/>
        </w:rPr>
        <w:t>A</w:t>
      </w:r>
      <w:r>
        <w:rPr>
          <w:rFonts w:hint="eastAsia" w:ascii="仿宋" w:hAnsi="仿宋" w:eastAsia="仿宋" w:cs="仿宋"/>
          <w:highlight w:val="none"/>
          <w:lang w:eastAsia="zh-CN"/>
        </w:rPr>
        <w:t>、</w:t>
      </w:r>
      <w:r>
        <w:rPr>
          <w:rFonts w:hint="eastAsia" w:ascii="仿宋" w:hAnsi="仿宋" w:eastAsia="仿宋" w:cs="仿宋"/>
          <w:highlight w:val="none"/>
        </w:rPr>
        <w:t>项目风险管理团队关键岗位履职管理要..................</w:t>
      </w:r>
      <w:r>
        <w:rPr>
          <w:rFonts w:hint="eastAsia" w:ascii="仿宋" w:hAnsi="仿宋" w:eastAsia="仿宋" w:cs="仿宋"/>
          <w:highlight w:val="none"/>
          <w:lang w:val="en-US" w:eastAsia="zh-CN"/>
        </w:rPr>
        <w:t>.</w:t>
      </w:r>
      <w:r>
        <w:rPr>
          <w:rFonts w:hint="eastAsia" w:ascii="仿宋" w:hAnsi="仿宋" w:eastAsia="仿宋" w:cs="仿宋"/>
          <w:highlight w:val="none"/>
        </w:rPr>
        <w:t>2</w:t>
      </w:r>
      <w:r>
        <w:rPr>
          <w:rFonts w:hint="eastAsia" w:ascii="仿宋" w:hAnsi="仿宋" w:eastAsia="仿宋" w:cs="仿宋"/>
          <w:highlight w:val="none"/>
          <w:lang w:val="en-US" w:eastAsia="zh-CN"/>
        </w:rPr>
        <w:t>3</w:t>
      </w:r>
    </w:p>
    <w:p w14:paraId="18D87C90">
      <w:pPr>
        <w:pStyle w:val="10"/>
        <w:ind w:firstLine="840" w:firstLineChars="400"/>
        <w:rPr>
          <w:rFonts w:hint="eastAsia" w:ascii="仿宋" w:hAnsi="仿宋" w:eastAsia="仿宋" w:cs="仿宋"/>
          <w:highlight w:val="none"/>
        </w:rPr>
      </w:pPr>
      <w:r>
        <w:rPr>
          <w:rFonts w:hint="eastAsia" w:ascii="仿宋" w:hAnsi="仿宋" w:eastAsia="仿宋" w:cs="仿宋"/>
          <w:highlight w:val="none"/>
        </w:rPr>
        <w:t>附录</w:t>
      </w:r>
      <w:r>
        <w:rPr>
          <w:rFonts w:hint="eastAsia" w:ascii="仿宋" w:hAnsi="仿宋" w:eastAsia="仿宋" w:cs="仿宋"/>
          <w:highlight w:val="none"/>
          <w:lang w:val="en-US" w:eastAsia="zh-CN"/>
        </w:rPr>
        <w:t>B</w:t>
      </w:r>
      <w:r>
        <w:rPr>
          <w:rFonts w:hint="eastAsia" w:ascii="仿宋" w:hAnsi="仿宋" w:eastAsia="仿宋" w:cs="仿宋"/>
          <w:highlight w:val="none"/>
          <w:lang w:eastAsia="zh-CN"/>
        </w:rPr>
        <w:t>、</w:t>
      </w:r>
      <w:r>
        <w:rPr>
          <w:rFonts w:hint="eastAsia" w:ascii="仿宋" w:hAnsi="仿宋" w:eastAsia="仿宋" w:cs="仿宋"/>
          <w:highlight w:val="none"/>
        </w:rPr>
        <w:t>常见严重技术风险认定参考示例........................</w:t>
      </w:r>
      <w:r>
        <w:rPr>
          <w:rFonts w:hint="eastAsia" w:ascii="仿宋" w:hAnsi="仿宋" w:eastAsia="仿宋" w:cs="仿宋"/>
          <w:highlight w:val="none"/>
          <w:lang w:val="en-US" w:eastAsia="zh-CN"/>
        </w:rPr>
        <w:t>.</w:t>
      </w:r>
      <w:r>
        <w:rPr>
          <w:rFonts w:hint="eastAsia" w:ascii="仿宋" w:hAnsi="仿宋" w:eastAsia="仿宋" w:cs="仿宋"/>
          <w:highlight w:val="none"/>
        </w:rPr>
        <w:t>2</w:t>
      </w:r>
      <w:r>
        <w:rPr>
          <w:rFonts w:hint="eastAsia" w:ascii="仿宋" w:hAnsi="仿宋" w:eastAsia="仿宋" w:cs="仿宋"/>
          <w:highlight w:val="none"/>
          <w:lang w:val="en-US" w:eastAsia="zh-CN"/>
        </w:rPr>
        <w:t>4</w:t>
      </w:r>
    </w:p>
    <w:p w14:paraId="46771AC9">
      <w:pPr>
        <w:pStyle w:val="10"/>
        <w:ind w:firstLine="840" w:firstLineChars="400"/>
        <w:rPr>
          <w:rFonts w:hint="eastAsia" w:ascii="仿宋" w:hAnsi="仿宋" w:eastAsia="仿宋" w:cs="仿宋"/>
          <w:highlight w:val="none"/>
        </w:rPr>
      </w:pPr>
      <w:r>
        <w:rPr>
          <w:rFonts w:hint="eastAsia" w:ascii="仿宋" w:hAnsi="仿宋" w:eastAsia="仿宋" w:cs="仿宋"/>
          <w:highlight w:val="none"/>
        </w:rPr>
        <w:t>附录</w:t>
      </w:r>
      <w:r>
        <w:rPr>
          <w:rFonts w:hint="eastAsia" w:ascii="仿宋" w:hAnsi="仿宋" w:eastAsia="仿宋" w:cs="仿宋"/>
          <w:highlight w:val="none"/>
          <w:lang w:val="en-US" w:eastAsia="zh-CN"/>
        </w:rPr>
        <w:t>C</w:t>
      </w:r>
      <w:r>
        <w:rPr>
          <w:rFonts w:hint="eastAsia" w:ascii="仿宋" w:hAnsi="仿宋" w:eastAsia="仿宋" w:cs="仿宋"/>
          <w:highlight w:val="none"/>
          <w:lang w:eastAsia="zh-CN"/>
        </w:rPr>
        <w:t>、</w:t>
      </w:r>
      <w:r>
        <w:rPr>
          <w:rFonts w:hint="eastAsia" w:ascii="仿宋" w:hAnsi="仿宋" w:eastAsia="仿宋" w:cs="仿宋"/>
          <w:highlight w:val="none"/>
        </w:rPr>
        <w:t>常见渗漏严重技术风险认定参考示例...................</w:t>
      </w:r>
      <w:r>
        <w:rPr>
          <w:rFonts w:hint="eastAsia" w:ascii="仿宋" w:hAnsi="仿宋" w:eastAsia="仿宋" w:cs="仿宋"/>
          <w:highlight w:val="none"/>
          <w:lang w:val="en-US" w:eastAsia="zh-CN"/>
        </w:rPr>
        <w:t>..</w:t>
      </w:r>
      <w:r>
        <w:rPr>
          <w:rFonts w:hint="eastAsia" w:ascii="仿宋" w:hAnsi="仿宋" w:eastAsia="仿宋" w:cs="仿宋"/>
          <w:highlight w:val="none"/>
        </w:rPr>
        <w:t>3</w:t>
      </w:r>
      <w:r>
        <w:rPr>
          <w:rFonts w:hint="eastAsia" w:ascii="仿宋" w:hAnsi="仿宋" w:eastAsia="仿宋" w:cs="仿宋"/>
          <w:highlight w:val="none"/>
          <w:lang w:val="en-US" w:eastAsia="zh-CN"/>
        </w:rPr>
        <w:t>2</w:t>
      </w:r>
    </w:p>
    <w:p w14:paraId="472200A0">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附录</w:t>
      </w:r>
      <w:r>
        <w:rPr>
          <w:rFonts w:hint="eastAsia" w:ascii="仿宋" w:hAnsi="仿宋" w:eastAsia="仿宋" w:cs="仿宋"/>
          <w:highlight w:val="none"/>
          <w:lang w:val="en-US" w:eastAsia="zh-CN"/>
        </w:rPr>
        <w:t>D</w:t>
      </w:r>
      <w:r>
        <w:rPr>
          <w:rFonts w:hint="eastAsia" w:ascii="仿宋" w:hAnsi="仿宋" w:eastAsia="仿宋" w:cs="仿宋"/>
          <w:highlight w:val="none"/>
          <w:lang w:eastAsia="zh-CN"/>
        </w:rPr>
        <w:t>、</w:t>
      </w:r>
      <w:r>
        <w:rPr>
          <w:rFonts w:hint="eastAsia" w:ascii="仿宋" w:hAnsi="仿宋" w:eastAsia="仿宋" w:cs="仿宋"/>
          <w:highlight w:val="none"/>
        </w:rPr>
        <w:t>回访检查时间节点、人员及检查手段要求................</w:t>
      </w:r>
      <w:r>
        <w:rPr>
          <w:rFonts w:hint="eastAsia" w:ascii="仿宋" w:hAnsi="仿宋" w:eastAsia="仿宋" w:cs="仿宋"/>
          <w:highlight w:val="none"/>
          <w:lang w:val="en-US" w:eastAsia="zh-CN"/>
        </w:rPr>
        <w:t>.47</w:t>
      </w:r>
    </w:p>
    <w:p w14:paraId="7191547B">
      <w:pPr>
        <w:pStyle w:val="10"/>
        <w:ind w:firstLine="840" w:firstLineChars="400"/>
        <w:rPr>
          <w:rFonts w:hint="default" w:ascii="仿宋" w:hAnsi="仿宋" w:eastAsia="仿宋" w:cs="仿宋"/>
          <w:highlight w:val="none"/>
          <w:lang w:val="en-US"/>
        </w:rPr>
      </w:pPr>
      <w:r>
        <w:rPr>
          <w:rFonts w:hint="eastAsia" w:ascii="仿宋" w:hAnsi="仿宋" w:eastAsia="仿宋" w:cs="仿宋"/>
          <w:highlight w:val="none"/>
        </w:rPr>
        <w:t>附录</w:t>
      </w:r>
      <w:r>
        <w:rPr>
          <w:rFonts w:hint="eastAsia" w:ascii="仿宋" w:hAnsi="仿宋" w:eastAsia="仿宋" w:cs="仿宋"/>
          <w:highlight w:val="none"/>
          <w:lang w:val="en-US" w:eastAsia="zh-CN"/>
        </w:rPr>
        <w:t>E</w:t>
      </w:r>
      <w:r>
        <w:rPr>
          <w:rFonts w:hint="eastAsia" w:ascii="仿宋" w:hAnsi="仿宋" w:eastAsia="仿宋" w:cs="仿宋"/>
          <w:highlight w:val="none"/>
          <w:lang w:eastAsia="zh-CN"/>
        </w:rPr>
        <w:t>、</w:t>
      </w:r>
      <w:r>
        <w:rPr>
          <w:rFonts w:hint="eastAsia" w:ascii="仿宋" w:hAnsi="仿宋" w:eastAsia="仿宋" w:cs="仿宋"/>
          <w:highlight w:val="none"/>
        </w:rPr>
        <w:t>回访检查重点清单....................................</w:t>
      </w:r>
      <w:r>
        <w:rPr>
          <w:rFonts w:hint="eastAsia" w:ascii="仿宋" w:hAnsi="仿宋" w:eastAsia="仿宋" w:cs="仿宋"/>
          <w:highlight w:val="none"/>
          <w:lang w:val="en-US" w:eastAsia="zh-CN"/>
        </w:rPr>
        <w:t>.49</w:t>
      </w:r>
    </w:p>
    <w:p w14:paraId="7C3EE9D2">
      <w:pPr>
        <w:widowControl w:val="0"/>
        <w:tabs>
          <w:tab w:val="left" w:pos="4507"/>
        </w:tabs>
        <w:kinsoku/>
        <w:adjustRightInd/>
        <w:snapToGrid/>
        <w:spacing w:line="360" w:lineRule="auto"/>
        <w:jc w:val="both"/>
        <w:textAlignment w:val="auto"/>
        <w:rPr>
          <w:rFonts w:ascii="仿宋" w:hAnsi="仿宋" w:eastAsia="仿宋" w:cs="仿宋"/>
          <w:b/>
          <w:bCs/>
          <w:color w:val="auto"/>
          <w:sz w:val="24"/>
          <w:szCs w:val="24"/>
          <w:highlight w:val="none"/>
          <w:lang w:eastAsia="zh-CN"/>
        </w:rPr>
        <w:sectPr>
          <w:footerReference r:id="rId5" w:type="default"/>
          <w:pgSz w:w="11900" w:h="16820"/>
          <w:pgMar w:top="1440" w:right="1800" w:bottom="1440" w:left="1800" w:header="0" w:footer="1344" w:gutter="0"/>
          <w:pgNumType w:start="1"/>
          <w:cols w:space="720" w:num="1"/>
        </w:sectPr>
      </w:pPr>
    </w:p>
    <w:p w14:paraId="6EB40F3E">
      <w:pPr>
        <w:pStyle w:val="3"/>
        <w:rPr>
          <w:lang w:eastAsia="zh-CN"/>
        </w:rPr>
      </w:pPr>
      <w:r>
        <w:rPr>
          <w:rFonts w:hint="eastAsia"/>
          <w:lang w:eastAsia="zh-CN"/>
        </w:rPr>
        <w:t>1</w:t>
      </w:r>
      <w:r>
        <w:rPr>
          <w:lang w:eastAsia="zh-CN"/>
        </w:rPr>
        <w:t xml:space="preserve"> </w:t>
      </w:r>
      <w:r>
        <w:rPr>
          <w:rFonts w:hint="eastAsia"/>
          <w:lang w:eastAsia="zh-CN"/>
        </w:rPr>
        <w:t>总则</w:t>
      </w:r>
    </w:p>
    <w:p w14:paraId="5CE2038B">
      <w:pPr>
        <w:pStyle w:val="10"/>
        <w:ind w:firstLine="420"/>
        <w:rPr>
          <w:rFonts w:hint="eastAsia" w:ascii="仿宋" w:hAnsi="仿宋" w:eastAsia="仿宋" w:cs="仿宋"/>
        </w:rPr>
      </w:pPr>
      <w:r>
        <w:rPr>
          <w:rFonts w:hint="eastAsia" w:ascii="仿宋" w:hAnsi="仿宋" w:eastAsia="仿宋" w:cs="仿宋"/>
          <w:lang w:val="en-US"/>
        </w:rPr>
        <w:t>1.1</w:t>
      </w:r>
      <w:r>
        <w:rPr>
          <w:rFonts w:hint="eastAsia" w:ascii="仿宋" w:hAnsi="仿宋" w:eastAsia="仿宋" w:cs="仿宋"/>
        </w:rPr>
        <w:t>为规范住宅工程质量风险管理服务行为，提升住宅工程质量风险管理服务质量，制定本手册。</w:t>
      </w:r>
    </w:p>
    <w:p w14:paraId="348011CA">
      <w:pPr>
        <w:pStyle w:val="10"/>
        <w:ind w:firstLine="420"/>
        <w:rPr>
          <w:rFonts w:hint="eastAsia" w:ascii="仿宋" w:hAnsi="仿宋" w:eastAsia="仿宋" w:cs="仿宋"/>
        </w:rPr>
      </w:pPr>
      <w:r>
        <w:rPr>
          <w:rFonts w:hint="eastAsia" w:ascii="仿宋" w:hAnsi="仿宋" w:eastAsia="仿宋" w:cs="仿宋"/>
          <w:lang w:val="en-US"/>
        </w:rPr>
        <w:t>1.2</w:t>
      </w:r>
      <w:r>
        <w:rPr>
          <w:rFonts w:hint="eastAsia" w:ascii="仿宋" w:hAnsi="仿宋" w:eastAsia="仿宋" w:cs="仿宋"/>
        </w:rPr>
        <w:t>本手册适用于杭州市</w:t>
      </w:r>
      <w:r>
        <w:rPr>
          <w:rFonts w:hint="eastAsia" w:ascii="仿宋" w:hAnsi="仿宋" w:eastAsia="仿宋" w:cs="仿宋"/>
          <w:lang w:val="en-US" w:eastAsia="zh-CN"/>
        </w:rPr>
        <w:t>已</w:t>
      </w:r>
      <w:r>
        <w:rPr>
          <w:rFonts w:hint="eastAsia" w:ascii="仿宋" w:hAnsi="仿宋" w:eastAsia="仿宋" w:cs="仿宋"/>
        </w:rPr>
        <w:t>投保</w:t>
      </w:r>
      <w:r>
        <w:rPr>
          <w:rFonts w:hint="eastAsia" w:ascii="仿宋" w:hAnsi="仿宋" w:eastAsia="仿宋" w:cs="仿宋"/>
          <w:lang w:val="en-US" w:eastAsia="zh-CN"/>
        </w:rPr>
        <w:t>住宅工程</w:t>
      </w:r>
      <w:r>
        <w:rPr>
          <w:rFonts w:hint="eastAsia" w:ascii="仿宋" w:hAnsi="仿宋" w:eastAsia="仿宋" w:cs="仿宋"/>
        </w:rPr>
        <w:t>质量潜在缺陷保险的工程质量风险管理</w:t>
      </w:r>
      <w:r>
        <w:rPr>
          <w:rFonts w:hint="eastAsia" w:ascii="仿宋" w:hAnsi="仿宋" w:eastAsia="仿宋" w:cs="仿宋"/>
          <w:lang w:val="en-US" w:eastAsia="zh-CN"/>
        </w:rPr>
        <w:t>服务</w:t>
      </w:r>
      <w:r>
        <w:rPr>
          <w:rFonts w:hint="eastAsia" w:ascii="仿宋" w:hAnsi="仿宋" w:eastAsia="仿宋" w:cs="仿宋"/>
        </w:rPr>
        <w:t>。</w:t>
      </w:r>
    </w:p>
    <w:p w14:paraId="4F34FA2D">
      <w:pPr>
        <w:pStyle w:val="10"/>
        <w:ind w:firstLine="420"/>
        <w:rPr>
          <w:rFonts w:hint="eastAsia" w:ascii="仿宋" w:hAnsi="仿宋" w:eastAsia="仿宋" w:cs="仿宋"/>
        </w:rPr>
      </w:pPr>
      <w:r>
        <w:rPr>
          <w:rFonts w:hint="eastAsia" w:ascii="仿宋" w:hAnsi="仿宋" w:eastAsia="仿宋" w:cs="仿宋"/>
          <w:lang w:val="en-US"/>
        </w:rPr>
        <w:t>1.3</w:t>
      </w:r>
      <w:r>
        <w:rPr>
          <w:rFonts w:hint="eastAsia" w:ascii="仿宋" w:hAnsi="仿宋" w:eastAsia="仿宋" w:cs="仿宋"/>
        </w:rPr>
        <w:t>住宅工程质量风险管理工作范围须涵盖已投保工程的准备</w:t>
      </w:r>
      <w:r>
        <w:rPr>
          <w:rFonts w:hint="eastAsia" w:ascii="仿宋" w:hAnsi="仿宋" w:eastAsia="仿宋" w:cs="仿宋"/>
          <w:lang w:val="en-US" w:eastAsia="zh-CN"/>
        </w:rPr>
        <w:t>阶段</w:t>
      </w:r>
      <w:r>
        <w:rPr>
          <w:rFonts w:hint="eastAsia" w:ascii="仿宋" w:hAnsi="仿宋" w:eastAsia="仿宋" w:cs="仿宋"/>
        </w:rPr>
        <w:t>、</w:t>
      </w:r>
      <w:r>
        <w:rPr>
          <w:rFonts w:hint="eastAsia" w:ascii="仿宋" w:hAnsi="仿宋" w:eastAsia="仿宋" w:cs="仿宋"/>
          <w:lang w:val="en-US" w:eastAsia="zh-CN"/>
        </w:rPr>
        <w:t>施工阶段和回访</w:t>
      </w:r>
      <w:r>
        <w:rPr>
          <w:rFonts w:hint="eastAsia" w:ascii="仿宋" w:hAnsi="仿宋" w:eastAsia="仿宋" w:cs="仿宋"/>
        </w:rPr>
        <w:t>阶段。</w:t>
      </w:r>
    </w:p>
    <w:p w14:paraId="22379665">
      <w:pPr>
        <w:pStyle w:val="10"/>
        <w:ind w:firstLine="420"/>
        <w:rPr>
          <w:rFonts w:hint="eastAsia" w:ascii="仿宋" w:hAnsi="仿宋" w:eastAsia="仿宋" w:cs="仿宋"/>
        </w:rPr>
      </w:pPr>
      <w:r>
        <w:rPr>
          <w:rFonts w:hint="eastAsia" w:ascii="仿宋" w:hAnsi="仿宋" w:eastAsia="仿宋" w:cs="仿宋"/>
          <w:lang w:val="en-US"/>
        </w:rPr>
        <w:t>1.4</w:t>
      </w:r>
      <w:r>
        <w:rPr>
          <w:rFonts w:hint="eastAsia" w:ascii="仿宋" w:hAnsi="仿宋" w:eastAsia="仿宋" w:cs="仿宋"/>
        </w:rPr>
        <w:t>主承保公司应向风险管理机构出具《风险管理授权书》</w:t>
      </w:r>
      <w:r>
        <w:rPr>
          <w:rFonts w:hint="eastAsia" w:ascii="仿宋" w:hAnsi="仿宋" w:eastAsia="仿宋" w:cs="仿宋"/>
          <w:lang w:eastAsia="zh-CN"/>
        </w:rPr>
        <w:t>（以下简称“授权书”）</w:t>
      </w:r>
      <w:r>
        <w:rPr>
          <w:rFonts w:hint="eastAsia" w:ascii="仿宋" w:hAnsi="仿宋" w:eastAsia="仿宋" w:cs="仿宋"/>
        </w:rPr>
        <w:t>，报送建设单位，并为风险管理机构开展工作提供协助和创造条件。风险管理机构凭授权书开展项目风险管理工作。</w:t>
      </w:r>
    </w:p>
    <w:p w14:paraId="23E23770">
      <w:pPr>
        <w:kinsoku/>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br w:type="page"/>
      </w:r>
    </w:p>
    <w:p w14:paraId="0D5784C1">
      <w:pPr>
        <w:pStyle w:val="3"/>
        <w:rPr>
          <w:lang w:eastAsia="zh-CN"/>
        </w:rPr>
      </w:pPr>
      <w:r>
        <w:rPr>
          <w:rFonts w:hint="eastAsia"/>
          <w:lang w:eastAsia="zh-CN"/>
        </w:rPr>
        <w:t>2</w:t>
      </w:r>
      <w:r>
        <w:rPr>
          <w:lang w:eastAsia="zh-CN"/>
        </w:rPr>
        <w:t xml:space="preserve"> </w:t>
      </w:r>
      <w:r>
        <w:rPr>
          <w:rFonts w:hint="eastAsia"/>
          <w:lang w:eastAsia="zh-CN"/>
        </w:rPr>
        <w:t>术语</w:t>
      </w:r>
    </w:p>
    <w:p w14:paraId="6F6E23E6">
      <w:pPr>
        <w:pStyle w:val="10"/>
        <w:ind w:firstLine="420"/>
        <w:rPr>
          <w:rFonts w:hint="eastAsia" w:ascii="仿宋" w:hAnsi="仿宋" w:eastAsia="仿宋" w:cs="仿宋"/>
          <w:b/>
          <w:bCs/>
          <w:lang w:val="en-US"/>
        </w:rPr>
      </w:pPr>
      <w:r>
        <w:rPr>
          <w:rFonts w:hint="eastAsia" w:ascii="仿宋" w:hAnsi="仿宋" w:eastAsia="仿宋" w:cs="仿宋"/>
          <w:b/>
          <w:bCs/>
          <w:lang w:val="en-US"/>
        </w:rPr>
        <w:t>2.1</w:t>
      </w:r>
      <w:r>
        <w:rPr>
          <w:rFonts w:hint="eastAsia" w:ascii="仿宋" w:hAnsi="仿宋" w:eastAsia="仿宋" w:cs="仿宋"/>
          <w:b/>
          <w:bCs/>
        </w:rPr>
        <w:t>工程质量潜在缺陷</w:t>
      </w:r>
      <w:r>
        <w:rPr>
          <w:rFonts w:hint="eastAsia" w:ascii="仿宋" w:hAnsi="仿宋" w:eastAsia="仿宋" w:cs="仿宋"/>
          <w:b/>
          <w:bCs/>
          <w:lang w:val="en-US"/>
        </w:rPr>
        <w:t>Inherent defects of residential project quality</w:t>
      </w:r>
    </w:p>
    <w:p w14:paraId="03A81684">
      <w:pPr>
        <w:widowControl w:val="0"/>
        <w:kinsoku/>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是指住宅工程质量不符合工程建设标准或合同的约定，并在使用过程中暴露出的质量缺陷。</w:t>
      </w:r>
    </w:p>
    <w:p w14:paraId="612A5D7D">
      <w:pPr>
        <w:pStyle w:val="10"/>
        <w:ind w:firstLine="420"/>
        <w:rPr>
          <w:rFonts w:hint="eastAsia" w:ascii="仿宋" w:hAnsi="仿宋" w:eastAsia="仿宋" w:cs="仿宋"/>
          <w:b/>
          <w:bCs/>
          <w:lang w:val="en-US"/>
        </w:rPr>
      </w:pPr>
      <w:r>
        <w:rPr>
          <w:rFonts w:hint="eastAsia" w:ascii="仿宋" w:hAnsi="仿宋" w:eastAsia="仿宋" w:cs="仿宋"/>
          <w:b/>
          <w:bCs/>
          <w:lang w:val="en-US"/>
        </w:rPr>
        <w:t>2.2住宅工程质量潜在缺陷保险Inherent defects insurance of residential project（简称</w:t>
      </w:r>
      <w:r>
        <w:rPr>
          <w:rFonts w:hint="eastAsia" w:ascii="仿宋" w:hAnsi="仿宋" w:eastAsia="仿宋" w:cs="仿宋"/>
          <w:b/>
          <w:bCs/>
          <w:lang w:val="en-US" w:eastAsia="zh-CN"/>
        </w:rPr>
        <w:t>住宅质量保险</w:t>
      </w:r>
      <w:r>
        <w:rPr>
          <w:rFonts w:hint="eastAsia" w:ascii="仿宋" w:hAnsi="仿宋" w:eastAsia="仿宋" w:cs="仿宋"/>
          <w:b/>
          <w:bCs/>
          <w:lang w:val="en-US"/>
        </w:rPr>
        <w:t>）</w:t>
      </w:r>
    </w:p>
    <w:p w14:paraId="135E66CF">
      <w:pPr>
        <w:kinsoku/>
        <w:adjustRightInd/>
        <w:snapToGrid/>
        <w:spacing w:line="360" w:lineRule="auto"/>
        <w:ind w:firstLine="480" w:firstLineChars="200"/>
        <w:jc w:val="both"/>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由住宅工程建设单位投保的，保险公司根据保险合同约定，对在保险范围和保险期限内出现的因工程质量潜在缺陷所导致的投保建筑物损坏，履行维修和赔偿义务的保险。</w:t>
      </w:r>
    </w:p>
    <w:p w14:paraId="6E61D43A">
      <w:pPr>
        <w:pStyle w:val="10"/>
        <w:ind w:firstLine="420"/>
        <w:rPr>
          <w:rFonts w:hint="eastAsia" w:ascii="仿宋" w:hAnsi="仿宋" w:eastAsia="仿宋" w:cs="仿宋"/>
          <w:b/>
          <w:bCs/>
          <w:lang w:val="en-US"/>
        </w:rPr>
      </w:pPr>
      <w:r>
        <w:rPr>
          <w:rFonts w:hint="eastAsia" w:ascii="仿宋" w:hAnsi="仿宋" w:eastAsia="仿宋" w:cs="仿宋"/>
          <w:b/>
          <w:bCs/>
          <w:lang w:val="en-US"/>
        </w:rPr>
        <w:t>2.3风险管理Risk management</w:t>
      </w:r>
    </w:p>
    <w:p w14:paraId="6504FF4B">
      <w:pPr>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通过风险辨识、风险分析、风险评估等风险管理技术，提出风险控制建议的技术服务。</w:t>
      </w:r>
    </w:p>
    <w:p w14:paraId="30F922C0">
      <w:pPr>
        <w:pStyle w:val="10"/>
        <w:ind w:firstLine="420"/>
        <w:rPr>
          <w:rFonts w:hint="eastAsia" w:ascii="仿宋" w:hAnsi="仿宋" w:eastAsia="仿宋" w:cs="仿宋"/>
          <w:b/>
          <w:bCs/>
          <w:lang w:val="en-US"/>
        </w:rPr>
      </w:pPr>
      <w:r>
        <w:rPr>
          <w:rFonts w:hint="eastAsia" w:ascii="仿宋" w:hAnsi="仿宋" w:eastAsia="仿宋" w:cs="仿宋"/>
          <w:b/>
          <w:bCs/>
          <w:lang w:val="en-US"/>
        </w:rPr>
        <w:t>2.4</w:t>
      </w:r>
      <w:r>
        <w:rPr>
          <w:rFonts w:hint="eastAsia" w:ascii="仿宋" w:hAnsi="仿宋" w:eastAsia="仿宋" w:cs="仿宋"/>
          <w:b/>
          <w:bCs/>
          <w:lang w:val="en-US" w:eastAsia="zh-CN"/>
        </w:rPr>
        <w:t>工程质量</w:t>
      </w:r>
      <w:r>
        <w:rPr>
          <w:rFonts w:hint="eastAsia" w:ascii="仿宋" w:hAnsi="仿宋" w:eastAsia="仿宋" w:cs="仿宋"/>
          <w:b/>
          <w:bCs/>
          <w:lang w:val="en-US"/>
        </w:rPr>
        <w:t>风险管理机构Technical inspection service</w:t>
      </w:r>
    </w:p>
    <w:p w14:paraId="6EA5417B">
      <w:pPr>
        <w:kinsoku/>
        <w:adjustRightInd/>
        <w:snapToGrid/>
        <w:spacing w:line="360" w:lineRule="auto"/>
        <w:ind w:firstLine="480" w:firstLineChars="200"/>
        <w:jc w:val="both"/>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受保险公司委托，对保险标的的质量潜在缺陷风险实施辨识、分析、评估、报告，提出处理建议，并最终对保险公司承担风险管理合同责任的机构。</w:t>
      </w:r>
    </w:p>
    <w:p w14:paraId="41508B2E">
      <w:pPr>
        <w:pStyle w:val="10"/>
        <w:ind w:firstLine="420"/>
        <w:rPr>
          <w:rFonts w:hint="eastAsia" w:ascii="仿宋" w:hAnsi="仿宋" w:eastAsia="仿宋" w:cs="仿宋"/>
          <w:b/>
          <w:bCs/>
          <w:lang w:val="en-US"/>
        </w:rPr>
      </w:pPr>
      <w:r>
        <w:rPr>
          <w:rFonts w:hint="eastAsia" w:ascii="仿宋" w:hAnsi="仿宋" w:eastAsia="仿宋" w:cs="仿宋"/>
          <w:b/>
          <w:bCs/>
          <w:lang w:val="en-US"/>
        </w:rPr>
        <w:t>2.5应急回访Emergency return survey</w:t>
      </w:r>
    </w:p>
    <w:p w14:paraId="546A0B13">
      <w:pPr>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针对小区发生重大质量舆情、突发质量事件、极端灾害天气或系统性质量风险，风险管理机构即时安排回访检查。</w:t>
      </w:r>
    </w:p>
    <w:p w14:paraId="02B56929">
      <w:pPr>
        <w:kinsoku/>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br w:type="page"/>
      </w:r>
    </w:p>
    <w:p w14:paraId="11F3E879">
      <w:pPr>
        <w:pStyle w:val="3"/>
        <w:spacing w:line="560" w:lineRule="exact"/>
        <w:rPr>
          <w:lang w:eastAsia="zh-CN"/>
        </w:rPr>
      </w:pPr>
      <w:r>
        <w:rPr>
          <w:rFonts w:hint="eastAsia"/>
          <w:lang w:eastAsia="zh-CN"/>
        </w:rPr>
        <w:t>3</w:t>
      </w:r>
      <w:r>
        <w:rPr>
          <w:lang w:eastAsia="zh-CN"/>
        </w:rPr>
        <w:t xml:space="preserve"> </w:t>
      </w:r>
      <w:r>
        <w:rPr>
          <w:rFonts w:hint="eastAsia"/>
          <w:lang w:eastAsia="zh-CN"/>
        </w:rPr>
        <w:t>风险管理机构设置与职责</w:t>
      </w:r>
    </w:p>
    <w:p w14:paraId="2B92CD84">
      <w:pPr>
        <w:pStyle w:val="4"/>
        <w:spacing w:line="560" w:lineRule="exact"/>
        <w:rPr>
          <w:rFonts w:hint="eastAsia" w:ascii="仿宋" w:hAnsi="仿宋" w:eastAsia="仿宋" w:cs="仿宋"/>
          <w:lang w:eastAsia="zh-CN"/>
        </w:rPr>
      </w:pPr>
      <w:r>
        <w:rPr>
          <w:rFonts w:hint="eastAsia" w:ascii="仿宋" w:hAnsi="仿宋" w:eastAsia="仿宋" w:cs="仿宋"/>
          <w:lang w:eastAsia="zh-CN"/>
        </w:rPr>
        <w:t>3.1一般规定</w:t>
      </w:r>
    </w:p>
    <w:p w14:paraId="25F2A89C">
      <w:pPr>
        <w:pStyle w:val="10"/>
        <w:spacing w:line="560" w:lineRule="exact"/>
        <w:ind w:firstLine="420"/>
        <w:rPr>
          <w:rFonts w:hint="eastAsia" w:ascii="仿宋" w:hAnsi="仿宋" w:eastAsia="仿宋" w:cs="仿宋"/>
        </w:rPr>
      </w:pPr>
      <w:r>
        <w:rPr>
          <w:rFonts w:hint="eastAsia" w:ascii="仿宋" w:hAnsi="仿宋" w:eastAsia="仿宋" w:cs="仿宋"/>
          <w:lang w:val="en-US"/>
        </w:rPr>
        <w:t>3.1.1</w:t>
      </w:r>
      <w:r>
        <w:rPr>
          <w:rFonts w:hint="eastAsia" w:ascii="仿宋" w:hAnsi="仿宋" w:eastAsia="仿宋" w:cs="仿宋"/>
        </w:rPr>
        <w:t>风险管理机构应具备独立性，不得与已投保工程的参建单位（包括其集团公司及下级公司）存有利害关系及其他可能影响公正性的情况，不得直接或间接参与该工程的勘察、设计、施工、监理、材料供应、检测等服务内容。</w:t>
      </w:r>
    </w:p>
    <w:p w14:paraId="1E6B81D4">
      <w:pPr>
        <w:pStyle w:val="10"/>
        <w:spacing w:line="560" w:lineRule="exact"/>
        <w:ind w:firstLine="420"/>
        <w:rPr>
          <w:rFonts w:hint="eastAsia" w:ascii="仿宋" w:hAnsi="仿宋" w:eastAsia="仿宋" w:cs="仿宋"/>
        </w:rPr>
      </w:pPr>
      <w:r>
        <w:rPr>
          <w:rFonts w:hint="eastAsia" w:ascii="仿宋" w:hAnsi="仿宋" w:eastAsia="仿宋" w:cs="仿宋"/>
          <w:lang w:val="en-US"/>
        </w:rPr>
        <w:t>3.1.2</w:t>
      </w:r>
      <w:r>
        <w:rPr>
          <w:rFonts w:hint="eastAsia" w:ascii="仿宋" w:hAnsi="仿宋" w:eastAsia="仿宋" w:cs="仿宋"/>
        </w:rPr>
        <w:t>风险管理机构应遵守国家现行的法律法规，执行工程建设标准，树立以质量风险为导向的服务方式，勇于揭示质量风险，遵守职业道德，专业、独立、公平、公正、慎独的开展风险管理服务。</w:t>
      </w:r>
    </w:p>
    <w:p w14:paraId="49C660F5">
      <w:pPr>
        <w:pStyle w:val="10"/>
        <w:spacing w:line="560" w:lineRule="exact"/>
        <w:ind w:firstLine="420"/>
        <w:rPr>
          <w:rFonts w:hint="eastAsia" w:ascii="仿宋" w:hAnsi="仿宋" w:eastAsia="仿宋" w:cs="仿宋"/>
        </w:rPr>
      </w:pPr>
      <w:r>
        <w:rPr>
          <w:rFonts w:hint="eastAsia" w:ascii="仿宋" w:hAnsi="仿宋" w:eastAsia="仿宋" w:cs="仿宋"/>
          <w:lang w:val="en-US"/>
        </w:rPr>
        <w:t>3.1.3</w:t>
      </w:r>
      <w:r>
        <w:rPr>
          <w:rFonts w:hint="eastAsia" w:ascii="仿宋" w:hAnsi="仿宋" w:eastAsia="仿宋" w:cs="仿宋"/>
        </w:rPr>
        <w:t>风险管理机构应根据已投保建设工程规模及特点，建立满足风险管理机构工作检查计划、工作频次、工作时间、专业配置、工程规模等要求的风险管理团队，并在风险管理合同及风险管理机构工作检查计划中明确专业人员及岗位。</w:t>
      </w:r>
    </w:p>
    <w:p w14:paraId="0EC2DDE8">
      <w:pPr>
        <w:pStyle w:val="10"/>
        <w:spacing w:line="560" w:lineRule="exact"/>
        <w:ind w:firstLine="420"/>
        <w:rPr>
          <w:rFonts w:hint="eastAsia" w:ascii="仿宋" w:hAnsi="仿宋" w:eastAsia="仿宋" w:cs="仿宋"/>
        </w:rPr>
      </w:pPr>
      <w:r>
        <w:rPr>
          <w:rFonts w:hint="eastAsia" w:ascii="仿宋" w:hAnsi="仿宋" w:eastAsia="仿宋" w:cs="仿宋"/>
          <w:lang w:val="en-US"/>
        </w:rPr>
        <w:t>3.1.4</w:t>
      </w:r>
      <w:r>
        <w:rPr>
          <w:rFonts w:hint="eastAsia" w:ascii="仿宋" w:hAnsi="仿宋" w:eastAsia="仿宋" w:cs="仿宋"/>
        </w:rPr>
        <w:t>项目质量风险管理工作过程中，风险管理机构不得随意更换项目负责人，确因正当事由更换的，风险管理机构应及时向主承保公司提出申请，经审批通过方可更换。</w:t>
      </w:r>
    </w:p>
    <w:p w14:paraId="77577509">
      <w:pPr>
        <w:pStyle w:val="10"/>
        <w:spacing w:line="560" w:lineRule="exact"/>
        <w:ind w:firstLine="420"/>
        <w:rPr>
          <w:rFonts w:hint="eastAsia" w:ascii="仿宋" w:hAnsi="仿宋" w:eastAsia="仿宋" w:cs="仿宋"/>
          <w:shd w:val="clear" w:color="auto" w:fill="FFFF00"/>
        </w:rPr>
      </w:pPr>
      <w:r>
        <w:rPr>
          <w:rFonts w:hint="eastAsia" w:ascii="仿宋" w:hAnsi="仿宋" w:eastAsia="仿宋" w:cs="仿宋"/>
          <w:lang w:val="en-US"/>
        </w:rPr>
        <w:t>3.1.5</w:t>
      </w:r>
      <w:r>
        <w:rPr>
          <w:rFonts w:hint="eastAsia" w:ascii="仿宋" w:hAnsi="仿宋" w:eastAsia="仿宋" w:cs="仿宋"/>
        </w:rPr>
        <w:t>一名项目负责人可任职2万m2以上的在建工程项目不得超过10个。</w:t>
      </w:r>
    </w:p>
    <w:p w14:paraId="05110416">
      <w:pPr>
        <w:pStyle w:val="4"/>
        <w:spacing w:line="560" w:lineRule="exact"/>
        <w:rPr>
          <w:rFonts w:hint="eastAsia" w:ascii="仿宋" w:hAnsi="仿宋" w:eastAsia="仿宋" w:cs="仿宋"/>
          <w:lang w:eastAsia="zh-CN"/>
        </w:rPr>
      </w:pPr>
      <w:r>
        <w:rPr>
          <w:rFonts w:hint="eastAsia" w:ascii="仿宋" w:hAnsi="仿宋" w:eastAsia="仿宋" w:cs="仿宋"/>
          <w:lang w:eastAsia="zh-CN"/>
        </w:rPr>
        <w:t>3.2机构及岗位设置</w:t>
      </w:r>
    </w:p>
    <w:p w14:paraId="2426521A">
      <w:pPr>
        <w:pStyle w:val="10"/>
        <w:spacing w:line="560" w:lineRule="exact"/>
        <w:ind w:firstLine="420"/>
        <w:rPr>
          <w:rFonts w:hint="eastAsia" w:ascii="仿宋" w:hAnsi="仿宋" w:eastAsia="仿宋" w:cs="仿宋"/>
        </w:rPr>
      </w:pPr>
      <w:r>
        <w:rPr>
          <w:rFonts w:hint="eastAsia" w:ascii="仿宋" w:hAnsi="仿宋" w:eastAsia="仿宋" w:cs="仿宋"/>
          <w:lang w:val="en-US"/>
        </w:rPr>
        <w:t>3.2.1</w:t>
      </w:r>
      <w:r>
        <w:rPr>
          <w:rFonts w:hint="eastAsia" w:ascii="仿宋" w:hAnsi="仿宋" w:eastAsia="仿宋" w:cs="仿宋"/>
        </w:rPr>
        <w:t>风险管理机构应建立由风险管理机构技术负责人为核心的业务运营管理部门，业务运营管理部门负责对项目风险管理团队的风险管理活动进行日常管理。</w:t>
      </w:r>
    </w:p>
    <w:p w14:paraId="5E450309">
      <w:pPr>
        <w:pStyle w:val="10"/>
        <w:spacing w:line="560" w:lineRule="exact"/>
        <w:ind w:firstLine="420"/>
        <w:rPr>
          <w:rFonts w:hint="eastAsia" w:ascii="仿宋" w:hAnsi="仿宋" w:eastAsia="仿宋" w:cs="仿宋"/>
        </w:rPr>
      </w:pPr>
      <w:r>
        <w:rPr>
          <w:rFonts w:hint="eastAsia" w:ascii="仿宋" w:hAnsi="仿宋" w:eastAsia="仿宋" w:cs="仿宋"/>
          <w:lang w:val="en-US"/>
        </w:rPr>
        <w:t>3.2.2</w:t>
      </w:r>
      <w:r>
        <w:rPr>
          <w:rFonts w:hint="eastAsia" w:ascii="仿宋" w:hAnsi="仿宋" w:eastAsia="仿宋" w:cs="仿宋"/>
        </w:rPr>
        <w:t>项目风险管理团队应包括项目负责人、风险管理工程师（包括勘察设计、施工等阶段的风险管理工程师）、风险管理专家及其他辅助人员。</w:t>
      </w:r>
    </w:p>
    <w:p w14:paraId="014246BB">
      <w:pPr>
        <w:pStyle w:val="10"/>
        <w:spacing w:line="560" w:lineRule="exact"/>
        <w:ind w:firstLine="420"/>
        <w:rPr>
          <w:rFonts w:hint="eastAsia" w:ascii="仿宋" w:hAnsi="仿宋" w:eastAsia="仿宋" w:cs="仿宋"/>
        </w:rPr>
      </w:pPr>
      <w:r>
        <w:rPr>
          <w:rFonts w:hint="eastAsia" w:ascii="仿宋" w:hAnsi="仿宋" w:eastAsia="仿宋" w:cs="仿宋"/>
          <w:lang w:val="en-US"/>
        </w:rPr>
        <w:t>3.2.3</w:t>
      </w:r>
      <w:r>
        <w:rPr>
          <w:rFonts w:hint="eastAsia" w:ascii="仿宋" w:hAnsi="仿宋" w:eastAsia="仿宋" w:cs="仿宋"/>
        </w:rPr>
        <w:t>风险管理机构技术负责人应由具有1</w:t>
      </w:r>
      <w:r>
        <w:rPr>
          <w:rFonts w:hint="eastAsia" w:ascii="仿宋" w:hAnsi="仿宋" w:eastAsia="仿宋" w:cs="仿宋"/>
          <w:lang w:val="en-US"/>
        </w:rPr>
        <w:t>5</w:t>
      </w:r>
      <w:r>
        <w:rPr>
          <w:rFonts w:hint="eastAsia" w:ascii="仿宋" w:hAnsi="仿宋" w:eastAsia="仿宋" w:cs="仿宋"/>
        </w:rPr>
        <w:t>年以上建筑工程工作经验，取得一级注册建筑师或一级注册结构工程师或一级注册建造师或注册监理工程师或注册土木工程师执业资格证书并具备高级工程师及以上职称的本公司在职人员担任，全面负责本机构的风险管理技术活动，对项目负责人进行管理，并对本风险管理机构风险管理工作负总责。</w:t>
      </w:r>
    </w:p>
    <w:p w14:paraId="38166258">
      <w:pPr>
        <w:pStyle w:val="5"/>
        <w:spacing w:line="560" w:lineRule="exact"/>
        <w:ind w:left="8" w:right="74" w:firstLine="640"/>
        <w:jc w:val="left"/>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3.2.4</w:t>
      </w:r>
      <w:r>
        <w:rPr>
          <w:rFonts w:hint="eastAsia"/>
          <w:sz w:val="21"/>
          <w:szCs w:val="21"/>
          <w:lang w:val="zh-CN" w:eastAsia="zh-CN" w:bidi="zh-CN"/>
        </w:rPr>
        <w:t>项目负责人应当由工程类专业毕业且取得高级工程师职称的专业技术人员担任，并具有10年以上从事工程建设管理工作的经历。</w:t>
      </w:r>
      <w:r>
        <w:rPr>
          <w:rFonts w:hint="eastAsia" w:cs="仿宋"/>
          <w:sz w:val="21"/>
          <w:szCs w:val="21"/>
          <w:lang w:val="zh-CN" w:eastAsia="zh-CN" w:bidi="zh-CN"/>
        </w:rPr>
        <w:t>项目负责人</w:t>
      </w:r>
      <w:r>
        <w:rPr>
          <w:rFonts w:hint="eastAsia" w:ascii="仿宋" w:hAnsi="仿宋" w:eastAsia="仿宋" w:cs="仿宋"/>
          <w:sz w:val="21"/>
          <w:szCs w:val="21"/>
          <w:lang w:val="zh-CN" w:eastAsia="zh-CN" w:bidi="zh-CN"/>
        </w:rPr>
        <w:t>是项目风险管理团队的负责人，对包括风险管理工程师、风险管理专家、辅助人员在内的团队成员进行管理，负责项目的风险管理工作。</w:t>
      </w:r>
    </w:p>
    <w:p w14:paraId="4839ACEC">
      <w:pPr>
        <w:pStyle w:val="10"/>
        <w:spacing w:line="560" w:lineRule="exact"/>
        <w:ind w:firstLine="420"/>
        <w:rPr>
          <w:rFonts w:hint="eastAsia" w:ascii="仿宋" w:hAnsi="仿宋" w:eastAsia="仿宋" w:cs="仿宋"/>
        </w:rPr>
      </w:pPr>
      <w:r>
        <w:rPr>
          <w:rFonts w:hint="eastAsia" w:ascii="仿宋" w:hAnsi="仿宋" w:eastAsia="仿宋" w:cs="仿宋"/>
          <w:lang w:val="en-US"/>
        </w:rPr>
        <w:t>3.2.5</w:t>
      </w:r>
      <w:r>
        <w:rPr>
          <w:rFonts w:hint="eastAsia" w:ascii="仿宋" w:hAnsi="仿宋" w:eastAsia="仿宋" w:cs="仿宋"/>
        </w:rPr>
        <w:t>勘察设计风险管理工程师应由工程类专业毕业，具有10年以上建筑工程设计经验的人员担任，鼓励风险管理机构引进符合上述资格要求的人员作为本机构在职人员开展勘察设计风险管理工作。</w:t>
      </w:r>
    </w:p>
    <w:p w14:paraId="7CFCA494">
      <w:pPr>
        <w:pStyle w:val="10"/>
        <w:spacing w:line="560" w:lineRule="exact"/>
        <w:ind w:firstLine="420"/>
        <w:rPr>
          <w:rFonts w:hint="eastAsia" w:ascii="仿宋" w:hAnsi="仿宋" w:eastAsia="仿宋" w:cs="仿宋"/>
        </w:rPr>
      </w:pPr>
      <w:r>
        <w:rPr>
          <w:rFonts w:hint="eastAsia" w:ascii="仿宋" w:hAnsi="仿宋" w:eastAsia="仿宋" w:cs="仿宋"/>
          <w:lang w:val="en-US"/>
        </w:rPr>
        <w:t>3.2.6</w:t>
      </w:r>
      <w:r>
        <w:rPr>
          <w:rFonts w:hint="eastAsia" w:ascii="仿宋" w:hAnsi="仿宋" w:eastAsia="仿宋" w:cs="仿宋"/>
        </w:rPr>
        <w:t>施工风险管理工程师包括土建风险管理工程师、安装风险管理工程师、检测风险管理工程师。施工风险管理工程师应由具有5年以上相关专业工作经验，取得中级及以上职称的本公司在职人员担任，一名风险管理工程师最多匹配1个专业。</w:t>
      </w:r>
    </w:p>
    <w:p w14:paraId="7CCCAF24">
      <w:pPr>
        <w:pStyle w:val="10"/>
        <w:spacing w:line="560" w:lineRule="exact"/>
        <w:ind w:firstLine="420"/>
        <w:rPr>
          <w:rFonts w:hint="eastAsia" w:ascii="仿宋" w:hAnsi="仿宋" w:eastAsia="仿宋" w:cs="仿宋"/>
        </w:rPr>
      </w:pPr>
      <w:r>
        <w:rPr>
          <w:rFonts w:hint="eastAsia" w:ascii="仿宋" w:hAnsi="仿宋" w:eastAsia="仿宋" w:cs="仿宋"/>
          <w:lang w:val="en-US"/>
        </w:rPr>
        <w:t>3.2.7</w:t>
      </w:r>
      <w:r>
        <w:rPr>
          <w:rFonts w:hint="eastAsia" w:ascii="仿宋" w:hAnsi="仿宋" w:eastAsia="仿宋" w:cs="仿宋"/>
        </w:rPr>
        <w:t>风险管理机构可委托风险管理专家对相关技术风险评估提供支持，但不可替代风险管理团队成员开展质量风险过程检查工作。</w:t>
      </w:r>
    </w:p>
    <w:p w14:paraId="0642CAE7">
      <w:pPr>
        <w:pStyle w:val="10"/>
        <w:spacing w:line="560" w:lineRule="exact"/>
        <w:ind w:firstLine="420"/>
        <w:rPr>
          <w:rFonts w:hint="eastAsia" w:ascii="仿宋" w:hAnsi="仿宋" w:eastAsia="仿宋" w:cs="仿宋"/>
        </w:rPr>
      </w:pPr>
    </w:p>
    <w:p w14:paraId="7C7416BC">
      <w:pPr>
        <w:widowControl w:val="0"/>
        <w:kinsoku/>
        <w:adjustRightInd/>
        <w:snapToGrid/>
        <w:spacing w:line="560" w:lineRule="exact"/>
        <w:jc w:val="left"/>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3.3岗位职责</w:t>
      </w:r>
    </w:p>
    <w:p w14:paraId="6A56BE71">
      <w:pPr>
        <w:widowControl w:val="0"/>
        <w:kinsoku/>
        <w:adjustRightInd/>
        <w:snapToGrid/>
        <w:spacing w:line="560" w:lineRule="exact"/>
        <w:jc w:val="left"/>
        <w:textAlignment w:val="auto"/>
        <w:rPr>
          <w:rFonts w:hint="eastAsia" w:ascii="仿宋" w:hAnsi="仿宋" w:eastAsia="仿宋" w:cs="仿宋"/>
          <w:b/>
          <w:bCs/>
          <w:color w:val="auto"/>
          <w:sz w:val="24"/>
          <w:szCs w:val="24"/>
          <w:lang w:eastAsia="zh-CN"/>
        </w:rPr>
      </w:pPr>
    </w:p>
    <w:p w14:paraId="03FD525A">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3.3.1</w:t>
      </w:r>
      <w:r>
        <w:rPr>
          <w:rFonts w:hint="eastAsia" w:ascii="仿宋" w:hAnsi="仿宋" w:eastAsia="仿宋" w:cs="仿宋"/>
        </w:rPr>
        <w:t>风险管理机构技术负责人应履行下列职责：</w:t>
      </w:r>
    </w:p>
    <w:p w14:paraId="1CDA7C30">
      <w:pPr>
        <w:pStyle w:val="10"/>
        <w:numPr>
          <w:ilvl w:val="0"/>
          <w:numId w:val="1"/>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负责本机构风险管理资源总体协调、统筹和调度工作；</w:t>
      </w:r>
    </w:p>
    <w:p w14:paraId="54DB3387">
      <w:pPr>
        <w:pStyle w:val="10"/>
        <w:numPr>
          <w:ilvl w:val="0"/>
          <w:numId w:val="1"/>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审批由项目负责人提交的风险管理机构工作检查计划；</w:t>
      </w:r>
    </w:p>
    <w:p w14:paraId="79AE0C65">
      <w:pPr>
        <w:pStyle w:val="10"/>
        <w:numPr>
          <w:ilvl w:val="0"/>
          <w:numId w:val="1"/>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监督风险管理机构工作检查计划的履行；</w:t>
      </w:r>
    </w:p>
    <w:p w14:paraId="4D17CEB5">
      <w:pPr>
        <w:pStyle w:val="10"/>
        <w:numPr>
          <w:ilvl w:val="0"/>
          <w:numId w:val="1"/>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审批由项目负责人提交的严重技术风险问题；</w:t>
      </w:r>
    </w:p>
    <w:p w14:paraId="329F187D">
      <w:pPr>
        <w:pStyle w:val="10"/>
        <w:numPr>
          <w:ilvl w:val="0"/>
          <w:numId w:val="1"/>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审批由</w:t>
      </w:r>
      <w:r>
        <w:rPr>
          <w:rFonts w:hint="eastAsia" w:ascii="仿宋" w:hAnsi="仿宋" w:eastAsia="仿宋" w:cs="仿宋"/>
          <w:lang w:eastAsia="zh-CN"/>
        </w:rPr>
        <w:t>项目负责人</w:t>
      </w:r>
      <w:r>
        <w:rPr>
          <w:rFonts w:hint="eastAsia" w:ascii="仿宋" w:hAnsi="仿宋" w:eastAsia="仿宋" w:cs="仿宋"/>
        </w:rPr>
        <w:t>提交的各类报告。</w:t>
      </w:r>
    </w:p>
    <w:p w14:paraId="5F1EB2C1">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3.3.2</w:t>
      </w:r>
      <w:r>
        <w:rPr>
          <w:rFonts w:hint="eastAsia" w:ascii="仿宋" w:hAnsi="仿宋" w:eastAsia="仿宋" w:cs="仿宋"/>
          <w:lang w:eastAsia="zh-CN"/>
        </w:rPr>
        <w:t>项目负责人</w:t>
      </w:r>
      <w:r>
        <w:rPr>
          <w:rFonts w:hint="eastAsia" w:ascii="仿宋" w:hAnsi="仿宋" w:eastAsia="仿宋" w:cs="仿宋"/>
        </w:rPr>
        <w:t>应履行下列职责：</w:t>
      </w:r>
    </w:p>
    <w:p w14:paraId="43A18420">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确定项目风险管理团队组织架构、人员分工和岗位职责；</w:t>
      </w:r>
    </w:p>
    <w:p w14:paraId="1FA4F34F">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参加质量风险管理交底会，并负责质量风险管理工作交底；</w:t>
      </w:r>
    </w:p>
    <w:p w14:paraId="56CBC528">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落实风险管理机构工作检查计划的履行；</w:t>
      </w:r>
    </w:p>
    <w:p w14:paraId="2FEA18DC">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组织并全程参加全过程风险管理工作；</w:t>
      </w:r>
    </w:p>
    <w:p w14:paraId="02A39101">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审核由风险管理工程师提交的技术风险问题，其中，严重技术风险问题需提交风险管理机构技术负责人审批；</w:t>
      </w:r>
    </w:p>
    <w:p w14:paraId="68016C19">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主持编写并审核风险管理机构工作检查计划、过程检查报告、阶段风险分析/评估报告、专项报告、检测报告等；</w:t>
      </w:r>
    </w:p>
    <w:p w14:paraId="1B5999B1">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督促</w:t>
      </w:r>
      <w:r>
        <w:rPr>
          <w:rFonts w:hint="eastAsia" w:ascii="仿宋" w:hAnsi="仿宋" w:eastAsia="仿宋" w:cs="仿宋"/>
          <w:lang w:val="en-US" w:eastAsia="zh-CN"/>
        </w:rPr>
        <w:t>建设单位</w:t>
      </w:r>
      <w:r>
        <w:rPr>
          <w:rFonts w:hint="eastAsia" w:ascii="仿宋" w:hAnsi="仿宋" w:eastAsia="仿宋" w:cs="仿宋"/>
        </w:rPr>
        <w:t>落实严重技术风险整改工作，并在规定时间内组织对严重技术风险整改后的复查工作；</w:t>
      </w:r>
    </w:p>
    <w:p w14:paraId="71256BDE">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负责将逾期</w:t>
      </w:r>
      <w:r>
        <w:rPr>
          <w:rFonts w:hint="eastAsia" w:ascii="仿宋" w:hAnsi="仿宋" w:eastAsia="仿宋" w:cs="仿宋"/>
          <w:highlight w:val="none"/>
        </w:rPr>
        <w:t>未整改的技术风险问题上报至</w:t>
      </w:r>
      <w:r>
        <w:rPr>
          <w:rFonts w:hint="eastAsia" w:ascii="仿宋" w:hAnsi="仿宋" w:eastAsia="仿宋" w:cs="仿宋"/>
          <w:highlight w:val="none"/>
          <w:lang w:eastAsia="zh-CN"/>
        </w:rPr>
        <w:t>住宅质量保险</w:t>
      </w:r>
      <w:r>
        <w:rPr>
          <w:rFonts w:hint="eastAsia" w:ascii="仿宋" w:hAnsi="仿宋" w:eastAsia="仿宋" w:cs="仿宋"/>
          <w:highlight w:val="none"/>
        </w:rPr>
        <w:t>项目经理人</w:t>
      </w:r>
      <w:r>
        <w:rPr>
          <w:rFonts w:hint="eastAsia" w:ascii="仿宋" w:hAnsi="仿宋" w:eastAsia="仿宋" w:cs="仿宋"/>
        </w:rPr>
        <w:t>；</w:t>
      </w:r>
    </w:p>
    <w:p w14:paraId="65E37627">
      <w:pPr>
        <w:pStyle w:val="10"/>
        <w:numPr>
          <w:ilvl w:val="0"/>
          <w:numId w:val="2"/>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负责将重大质量舆情、突发质量事件或系统性质量风险及时上报至</w:t>
      </w:r>
      <w:r>
        <w:rPr>
          <w:rFonts w:hint="eastAsia" w:ascii="仿宋" w:hAnsi="仿宋" w:eastAsia="仿宋" w:cs="仿宋"/>
          <w:lang w:eastAsia="zh-CN"/>
        </w:rPr>
        <w:t>住宅质量保险</w:t>
      </w:r>
      <w:r>
        <w:rPr>
          <w:rFonts w:hint="eastAsia" w:ascii="仿宋" w:hAnsi="仿宋" w:eastAsia="仿宋" w:cs="仿宋"/>
        </w:rPr>
        <w:t>项目经理人。</w:t>
      </w:r>
    </w:p>
    <w:p w14:paraId="5827A8E2">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3.3.3</w:t>
      </w:r>
      <w:r>
        <w:rPr>
          <w:rFonts w:hint="eastAsia" w:ascii="仿宋" w:hAnsi="仿宋" w:eastAsia="仿宋" w:cs="仿宋"/>
        </w:rPr>
        <w:t>勘察设计风险管理工程师应履行下列职责：</w:t>
      </w:r>
    </w:p>
    <w:p w14:paraId="7F017302">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负责勘察设计质量风险评估，提出勘察设计质量风险问题及建议，并明确过程质量风险管理控制要点；</w:t>
      </w:r>
    </w:p>
    <w:p w14:paraId="3F4B1E65">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编制设计审查报告，提交</w:t>
      </w:r>
      <w:r>
        <w:rPr>
          <w:rFonts w:hint="eastAsia" w:ascii="仿宋" w:hAnsi="仿宋" w:eastAsia="仿宋" w:cs="仿宋"/>
          <w:lang w:eastAsia="zh-CN"/>
        </w:rPr>
        <w:t>项目负责人</w:t>
      </w:r>
      <w:r>
        <w:rPr>
          <w:rFonts w:hint="eastAsia" w:ascii="仿宋" w:hAnsi="仿宋" w:eastAsia="仿宋" w:cs="仿宋"/>
        </w:rPr>
        <w:t>审核。</w:t>
      </w:r>
    </w:p>
    <w:p w14:paraId="6B5AAE76">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参加质量风险管理等各类交底会；</w:t>
      </w:r>
    </w:p>
    <w:p w14:paraId="1EA27CD0">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参加质量风险过程检查工作，审查核定单及变更单，提供设计建议；</w:t>
      </w:r>
    </w:p>
    <w:p w14:paraId="2781C486">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参加编写风险管理机构工作检查计划、过程检查报告、阶段风险分析/评估报告、专项报告等；</w:t>
      </w:r>
    </w:p>
    <w:p w14:paraId="3BA77FFE">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督促建设单位落实整改，并跟踪记录技术风险问题整改情况，协助</w:t>
      </w:r>
      <w:r>
        <w:rPr>
          <w:rFonts w:hint="eastAsia" w:ascii="仿宋" w:hAnsi="仿宋" w:eastAsia="仿宋" w:cs="仿宋"/>
          <w:lang w:eastAsia="zh-CN"/>
        </w:rPr>
        <w:t>项目负责人</w:t>
      </w:r>
      <w:r>
        <w:rPr>
          <w:rFonts w:hint="eastAsia" w:ascii="仿宋" w:hAnsi="仿宋" w:eastAsia="仿宋" w:cs="仿宋"/>
        </w:rPr>
        <w:t>及时完成技术风险问题销项，及时将逾期未整改的技术风险问题上报至</w:t>
      </w:r>
      <w:r>
        <w:rPr>
          <w:rFonts w:hint="eastAsia" w:ascii="仿宋" w:hAnsi="仿宋" w:eastAsia="仿宋" w:cs="仿宋"/>
          <w:lang w:eastAsia="zh-CN"/>
        </w:rPr>
        <w:t>项目负责人</w:t>
      </w:r>
      <w:r>
        <w:rPr>
          <w:rFonts w:hint="eastAsia" w:ascii="仿宋" w:hAnsi="仿宋" w:eastAsia="仿宋" w:cs="仿宋"/>
        </w:rPr>
        <w:t>；</w:t>
      </w:r>
    </w:p>
    <w:p w14:paraId="6DE27F69">
      <w:pPr>
        <w:pStyle w:val="10"/>
        <w:numPr>
          <w:ilvl w:val="0"/>
          <w:numId w:val="3"/>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在竣工前，根据设计变更情况，对勘察设计风险进行再评估，并参与编写《最终风险评估报告》中有关勘察设计的内容。</w:t>
      </w:r>
    </w:p>
    <w:p w14:paraId="49ED0976">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3.3.4</w:t>
      </w:r>
      <w:r>
        <w:rPr>
          <w:rFonts w:hint="eastAsia" w:ascii="仿宋" w:hAnsi="仿宋" w:eastAsia="仿宋" w:cs="仿宋"/>
        </w:rPr>
        <w:t>施工风险管理工程师应履行下列职责：</w:t>
      </w:r>
    </w:p>
    <w:p w14:paraId="2B79D48F">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参加质量风险管理交底会；</w:t>
      </w:r>
    </w:p>
    <w:p w14:paraId="742B04DF">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参加质量风险过程检查工作；</w:t>
      </w:r>
    </w:p>
    <w:p w14:paraId="2DEF6C31">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负责记录技术风险问题，由项目负责人进行审核；</w:t>
      </w:r>
    </w:p>
    <w:p w14:paraId="3FEAA9E1">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参加编写风险管理机构工作检查计划、过程检查报告、阶段风险分析/评估报告、专项报告、检测报告等，由项目负责人进行审核；</w:t>
      </w:r>
    </w:p>
    <w:p w14:paraId="77E6DE38">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督促建设单位落实整改，并跟踪记录技术风险问题整改情况，协助</w:t>
      </w:r>
      <w:r>
        <w:rPr>
          <w:rFonts w:hint="eastAsia" w:ascii="仿宋" w:hAnsi="仿宋" w:eastAsia="仿宋" w:cs="仿宋"/>
          <w:lang w:eastAsia="zh-CN"/>
        </w:rPr>
        <w:t>项目负责人</w:t>
      </w:r>
      <w:r>
        <w:rPr>
          <w:rFonts w:hint="eastAsia" w:ascii="仿宋" w:hAnsi="仿宋" w:eastAsia="仿宋" w:cs="仿宋"/>
        </w:rPr>
        <w:t>及时完成技术风险问题销项，及时将逾期未整改的技术风险问题上报至</w:t>
      </w:r>
      <w:r>
        <w:rPr>
          <w:rFonts w:hint="eastAsia" w:ascii="仿宋" w:hAnsi="仿宋" w:eastAsia="仿宋" w:cs="仿宋"/>
          <w:lang w:eastAsia="zh-CN"/>
        </w:rPr>
        <w:t>项目负责人</w:t>
      </w:r>
      <w:r>
        <w:rPr>
          <w:rFonts w:hint="eastAsia" w:ascii="仿宋" w:hAnsi="仿宋" w:eastAsia="仿宋" w:cs="仿宋"/>
        </w:rPr>
        <w:t>；</w:t>
      </w:r>
    </w:p>
    <w:p w14:paraId="5F9005AD">
      <w:pPr>
        <w:pStyle w:val="10"/>
        <w:numPr>
          <w:ilvl w:val="0"/>
          <w:numId w:val="4"/>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主动了解、收集重大质量舆情、突发质量事件或系统性质量风险信息，及时报告至项目负责人。</w:t>
      </w:r>
    </w:p>
    <w:p w14:paraId="5DA82518">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3.3.5</w:t>
      </w:r>
      <w:r>
        <w:rPr>
          <w:rFonts w:hint="eastAsia" w:ascii="仿宋" w:hAnsi="仿宋" w:eastAsia="仿宋" w:cs="仿宋"/>
        </w:rPr>
        <w:t>风险管理专家应履行下列职责：</w:t>
      </w:r>
    </w:p>
    <w:p w14:paraId="04671E14">
      <w:pPr>
        <w:pStyle w:val="10"/>
        <w:numPr>
          <w:ilvl w:val="0"/>
          <w:numId w:val="5"/>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参与风险评估，提出风险控制措施及建议；</w:t>
      </w:r>
    </w:p>
    <w:p w14:paraId="032AA5A5">
      <w:pPr>
        <w:pStyle w:val="10"/>
        <w:numPr>
          <w:ilvl w:val="0"/>
          <w:numId w:val="5"/>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对项目风险管控工作提供建议。</w:t>
      </w:r>
    </w:p>
    <w:p w14:paraId="3E6CD474">
      <w:pPr>
        <w:pStyle w:val="10"/>
        <w:spacing w:line="560" w:lineRule="exact"/>
        <w:ind w:firstLine="420"/>
        <w:jc w:val="left"/>
        <w:rPr>
          <w:rFonts w:hint="eastAsia" w:ascii="仿宋" w:hAnsi="仿宋" w:eastAsia="仿宋" w:cs="仿宋"/>
        </w:rPr>
      </w:pPr>
      <w:r>
        <w:rPr>
          <w:rFonts w:hint="eastAsia" w:ascii="仿宋" w:hAnsi="仿宋" w:eastAsia="仿宋" w:cs="仿宋"/>
          <w:lang w:val="en-US"/>
        </w:rPr>
        <w:t>3.3.6</w:t>
      </w:r>
      <w:r>
        <w:rPr>
          <w:rFonts w:hint="eastAsia" w:ascii="仿宋" w:hAnsi="仿宋" w:eastAsia="仿宋" w:cs="仿宋"/>
        </w:rPr>
        <w:t>辅助人员应履行下列职责：</w:t>
      </w:r>
    </w:p>
    <w:p w14:paraId="33D6FC10">
      <w:pPr>
        <w:pStyle w:val="10"/>
        <w:numPr>
          <w:ilvl w:val="0"/>
          <w:numId w:val="6"/>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参加质量风险过程检查工作；</w:t>
      </w:r>
    </w:p>
    <w:p w14:paraId="51BE9824">
      <w:pPr>
        <w:pStyle w:val="10"/>
        <w:numPr>
          <w:ilvl w:val="0"/>
          <w:numId w:val="6"/>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见证功能性试验；</w:t>
      </w:r>
    </w:p>
    <w:p w14:paraId="731B9FF1">
      <w:pPr>
        <w:pStyle w:val="10"/>
        <w:numPr>
          <w:ilvl w:val="0"/>
          <w:numId w:val="6"/>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跟踪并记录技术风险问题整改情况；</w:t>
      </w:r>
    </w:p>
    <w:p w14:paraId="3B8E755E">
      <w:pPr>
        <w:pStyle w:val="10"/>
        <w:numPr>
          <w:ilvl w:val="0"/>
          <w:numId w:val="6"/>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rPr>
        <w:t>收集、汇总并归档工程信息及技术文件；</w:t>
      </w:r>
    </w:p>
    <w:p w14:paraId="66709B29">
      <w:pPr>
        <w:pStyle w:val="10"/>
        <w:numPr>
          <w:ilvl w:val="0"/>
          <w:numId w:val="6"/>
        </w:numPr>
        <w:tabs>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lang w:eastAsia="zh-CN"/>
        </w:rPr>
        <w:t>项目负责人</w:t>
      </w:r>
      <w:r>
        <w:rPr>
          <w:rFonts w:hint="eastAsia" w:ascii="仿宋" w:hAnsi="仿宋" w:eastAsia="仿宋" w:cs="仿宋"/>
        </w:rPr>
        <w:t>安排的符合其能力的其他工作。</w:t>
      </w:r>
    </w:p>
    <w:p w14:paraId="08B7D443">
      <w:pPr>
        <w:pStyle w:val="3"/>
        <w:spacing w:line="560" w:lineRule="exact"/>
        <w:rPr>
          <w:rFonts w:hint="eastAsia" w:ascii="Arial" w:hAnsi="Arial" w:eastAsia="黑体" w:cs="Arial"/>
          <w:color w:val="000000"/>
          <w:sz w:val="32"/>
          <w:szCs w:val="21"/>
          <w:lang w:eastAsia="zh-CN"/>
        </w:rPr>
      </w:pPr>
      <w:r>
        <w:rPr>
          <w:rFonts w:hint="eastAsia" w:ascii="Arial" w:hAnsi="Arial" w:eastAsia="黑体" w:cs="Arial"/>
          <w:bCs w:val="0"/>
          <w:color w:val="000000"/>
          <w:sz w:val="32"/>
          <w:szCs w:val="21"/>
          <w:lang w:eastAsia="zh-CN"/>
        </w:rPr>
        <w:t xml:space="preserve">4 </w:t>
      </w:r>
      <w:r>
        <w:rPr>
          <w:rFonts w:hint="eastAsia" w:ascii="Arial" w:hAnsi="Arial" w:eastAsia="黑体" w:cs="Arial"/>
          <w:bCs w:val="0"/>
          <w:color w:val="000000"/>
          <w:w w:val="100"/>
          <w:sz w:val="32"/>
          <w:szCs w:val="21"/>
          <w:lang w:eastAsia="zh-CN"/>
        </w:rPr>
        <w:t>工作内容与要求</w:t>
      </w:r>
    </w:p>
    <w:p w14:paraId="5880F459">
      <w:pPr>
        <w:pStyle w:val="4"/>
        <w:spacing w:line="560" w:lineRule="exact"/>
        <w:jc w:val="left"/>
        <w:rPr>
          <w:rFonts w:hint="eastAsia" w:ascii="仿宋" w:hAnsi="仿宋" w:eastAsia="仿宋" w:cs="仿宋"/>
          <w:lang w:eastAsia="zh-CN"/>
        </w:rPr>
      </w:pPr>
      <w:r>
        <w:rPr>
          <w:rFonts w:hint="eastAsia" w:ascii="仿宋" w:hAnsi="仿宋" w:eastAsia="仿宋" w:cs="仿宋"/>
          <w:lang w:eastAsia="zh-CN"/>
        </w:rPr>
        <w:t>4.1一般规定</w:t>
      </w:r>
    </w:p>
    <w:p w14:paraId="1AE5AA59">
      <w:pPr>
        <w:pStyle w:val="10"/>
        <w:spacing w:line="560" w:lineRule="exact"/>
        <w:ind w:firstLine="420"/>
        <w:jc w:val="left"/>
        <w:rPr>
          <w:rFonts w:hint="eastAsia" w:ascii="仿宋" w:hAnsi="仿宋" w:eastAsia="仿宋" w:cs="仿宋"/>
        </w:rPr>
      </w:pPr>
      <w:r>
        <w:rPr>
          <w:rFonts w:hint="eastAsia" w:ascii="仿宋" w:hAnsi="仿宋" w:eastAsia="仿宋" w:cs="仿宋"/>
          <w:lang w:val="en-US"/>
        </w:rPr>
        <w:t>4.1.1</w:t>
      </w:r>
      <w:r>
        <w:rPr>
          <w:rFonts w:hint="eastAsia" w:ascii="仿宋" w:hAnsi="仿宋" w:eastAsia="仿宋" w:cs="仿宋"/>
        </w:rPr>
        <w:t>质量风险管理工作应包含设计质量风险管理、施工质量风险管理和材料质量风险管理，具体工作内容包括但不限于设计风险评估、施工现场资料和工序检查、参建单位质量管理体系检查、预制构件厂检查（仅限装配式住宅工程）、材料检查检测、实体检测、功能性试验等。</w:t>
      </w:r>
    </w:p>
    <w:p w14:paraId="3CA383AC">
      <w:pPr>
        <w:pStyle w:val="10"/>
        <w:spacing w:line="560" w:lineRule="exact"/>
        <w:ind w:firstLine="420"/>
        <w:jc w:val="left"/>
        <w:rPr>
          <w:rFonts w:hint="eastAsia" w:ascii="仿宋" w:hAnsi="仿宋" w:eastAsia="仿宋" w:cs="仿宋"/>
        </w:rPr>
      </w:pPr>
      <w:r>
        <w:rPr>
          <w:rFonts w:hint="eastAsia" w:ascii="仿宋" w:hAnsi="仿宋" w:eastAsia="仿宋" w:cs="仿宋"/>
          <w:lang w:val="en-US"/>
        </w:rPr>
        <w:t>4.1.2</w:t>
      </w:r>
      <w:r>
        <w:rPr>
          <w:rFonts w:hint="eastAsia" w:ascii="仿宋" w:hAnsi="仿宋" w:eastAsia="仿宋" w:cs="仿宋"/>
        </w:rPr>
        <w:t>项目施工现场质量风险过程检查每月不低于2次；装配式住宅工程项目施工期每家预制构件厂至少进行1次检查。</w:t>
      </w:r>
    </w:p>
    <w:p w14:paraId="250BA7EC">
      <w:pPr>
        <w:pStyle w:val="10"/>
        <w:spacing w:line="560" w:lineRule="exact"/>
        <w:ind w:firstLine="420"/>
        <w:jc w:val="left"/>
        <w:rPr>
          <w:rFonts w:hint="eastAsia" w:ascii="仿宋" w:hAnsi="仿宋" w:eastAsia="仿宋" w:cs="仿宋"/>
        </w:rPr>
      </w:pPr>
      <w:r>
        <w:rPr>
          <w:rFonts w:hint="eastAsia" w:ascii="仿宋" w:hAnsi="仿宋" w:eastAsia="仿宋" w:cs="仿宋"/>
          <w:lang w:val="en-US"/>
        </w:rPr>
        <w:t>4.1.3</w:t>
      </w:r>
      <w:r>
        <w:rPr>
          <w:rFonts w:hint="eastAsia" w:ascii="仿宋" w:hAnsi="仿宋" w:eastAsia="仿宋" w:cs="仿宋"/>
        </w:rPr>
        <w:t>项目风险管理团队关键岗位实名制履职管理应符合附录A规定，检查频次、人数与时长应符合以下规定：</w:t>
      </w:r>
    </w:p>
    <w:p w14:paraId="2D7D742D">
      <w:pPr>
        <w:pStyle w:val="10"/>
        <w:numPr>
          <w:ilvl w:val="0"/>
          <w:numId w:val="7"/>
        </w:numPr>
        <w:tabs>
          <w:tab w:val="left" w:pos="420"/>
          <w:tab w:val="clear" w:pos="1415"/>
        </w:tabs>
        <w:spacing w:line="560" w:lineRule="exact"/>
        <w:ind w:left="425" w:hanging="5"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准备阶段不少于1次；</w:t>
      </w:r>
    </w:p>
    <w:p w14:paraId="60332EC4">
      <w:pPr>
        <w:pStyle w:val="10"/>
        <w:numPr>
          <w:ilvl w:val="0"/>
          <w:numId w:val="7"/>
        </w:numPr>
        <w:tabs>
          <w:tab w:val="left" w:pos="420"/>
          <w:tab w:val="clear" w:pos="1415"/>
        </w:tabs>
        <w:spacing w:line="560" w:lineRule="exact"/>
        <w:ind w:left="425" w:hanging="5"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施工阶段平均每个月不少于2次；</w:t>
      </w:r>
    </w:p>
    <w:p w14:paraId="48F7DD3D">
      <w:pPr>
        <w:pStyle w:val="10"/>
        <w:numPr>
          <w:ilvl w:val="0"/>
          <w:numId w:val="7"/>
        </w:numPr>
        <w:tabs>
          <w:tab w:val="left" w:pos="420"/>
          <w:tab w:val="clear" w:pos="1415"/>
        </w:tabs>
        <w:spacing w:line="560" w:lineRule="exact"/>
        <w:ind w:left="425" w:hanging="5" w:firstLineChars="0"/>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回访阶段不少于5次；</w:t>
      </w:r>
    </w:p>
    <w:p w14:paraId="288BA2D5">
      <w:pPr>
        <w:pStyle w:val="10"/>
        <w:numPr>
          <w:ilvl w:val="0"/>
          <w:numId w:val="7"/>
        </w:numPr>
        <w:tabs>
          <w:tab w:val="left" w:pos="420"/>
          <w:tab w:val="clear" w:pos="1415"/>
        </w:tabs>
        <w:spacing w:line="560" w:lineRule="exact"/>
        <w:ind w:left="425" w:hanging="5" w:firstLineChars="0"/>
        <w:jc w:val="left"/>
        <w:rPr>
          <w:rFonts w:hint="eastAsia" w:ascii="仿宋" w:hAnsi="仿宋" w:eastAsia="仿宋" w:cs="仿宋"/>
          <w:highlight w:val="none"/>
        </w:rPr>
      </w:pPr>
      <w:r>
        <w:rPr>
          <w:rFonts w:hint="eastAsia" w:ascii="仿宋" w:hAnsi="仿宋" w:eastAsia="仿宋" w:cs="仿宋"/>
          <w:highlight w:val="none"/>
          <w:lang w:val="en-US" w:eastAsia="zh-CN"/>
        </w:rPr>
        <w:t>现场服务过程中每次勘察人数不应少于2人，并且充足配备与工程现场进度相适应的专业人员；</w:t>
      </w:r>
    </w:p>
    <w:p w14:paraId="5272F2AA">
      <w:pPr>
        <w:pStyle w:val="10"/>
        <w:numPr>
          <w:ilvl w:val="0"/>
          <w:numId w:val="7"/>
        </w:numPr>
        <w:tabs>
          <w:tab w:val="left" w:pos="420"/>
          <w:tab w:val="clear" w:pos="1415"/>
        </w:tabs>
        <w:spacing w:line="560" w:lineRule="exact"/>
        <w:ind w:left="425" w:hanging="5" w:firstLineChars="0"/>
        <w:jc w:val="left"/>
        <w:rPr>
          <w:rFonts w:hint="eastAsia" w:ascii="仿宋" w:hAnsi="仿宋" w:eastAsia="仿宋" w:cs="仿宋"/>
        </w:rPr>
      </w:pPr>
      <w:r>
        <w:rPr>
          <w:rFonts w:hint="eastAsia" w:ascii="仿宋" w:hAnsi="仿宋" w:eastAsia="仿宋" w:cs="仿宋"/>
          <w:highlight w:val="none"/>
          <w:lang w:val="en-US" w:eastAsia="zh-CN"/>
        </w:rPr>
        <w:t>每次检查不应少于4小时，风险管理团队认为必须增加现场服务次数的，应报保险机构确认。</w:t>
      </w:r>
    </w:p>
    <w:p w14:paraId="0B38BCC2">
      <w:pPr>
        <w:pStyle w:val="10"/>
        <w:spacing w:line="560" w:lineRule="exact"/>
        <w:ind w:firstLine="420"/>
        <w:rPr>
          <w:rFonts w:hint="eastAsia" w:ascii="仿宋" w:hAnsi="仿宋" w:eastAsia="仿宋" w:cs="仿宋"/>
        </w:rPr>
      </w:pPr>
      <w:r>
        <w:rPr>
          <w:rFonts w:hint="eastAsia" w:ascii="仿宋" w:hAnsi="仿宋" w:eastAsia="仿宋" w:cs="仿宋"/>
          <w:lang w:val="en-US"/>
        </w:rPr>
        <w:t>4.1.4</w:t>
      </w:r>
      <w:r>
        <w:rPr>
          <w:rFonts w:hint="eastAsia" w:ascii="仿宋" w:hAnsi="仿宋" w:eastAsia="仿宋" w:cs="仿宋"/>
        </w:rPr>
        <w:t>风险管理机构应根据项目风险点分布合理安排检查计划，项目总检查时长不应少于累计检查次数与每次检查时长的乘积。</w:t>
      </w:r>
    </w:p>
    <w:p w14:paraId="29EB132B">
      <w:pPr>
        <w:pStyle w:val="10"/>
        <w:spacing w:line="560" w:lineRule="exact"/>
        <w:ind w:firstLine="420"/>
        <w:rPr>
          <w:rFonts w:hint="eastAsia" w:ascii="仿宋" w:hAnsi="仿宋" w:eastAsia="仿宋" w:cs="仿宋"/>
        </w:rPr>
      </w:pPr>
      <w:r>
        <w:rPr>
          <w:rFonts w:hint="eastAsia" w:ascii="仿宋" w:hAnsi="仿宋" w:eastAsia="仿宋" w:cs="仿宋"/>
          <w:lang w:val="en-US"/>
        </w:rPr>
        <w:t>4.1.5</w:t>
      </w:r>
      <w:r>
        <w:rPr>
          <w:rFonts w:hint="eastAsia" w:ascii="仿宋" w:hAnsi="仿宋" w:eastAsia="仿宋" w:cs="仿宋"/>
        </w:rPr>
        <w:t>鼓励风险管理机构委托专业检测单位进行相关原材料和实体检测。</w:t>
      </w:r>
    </w:p>
    <w:p w14:paraId="67E8E7FD">
      <w:pPr>
        <w:pStyle w:val="4"/>
        <w:spacing w:line="560" w:lineRule="exact"/>
        <w:rPr>
          <w:rFonts w:hint="eastAsia" w:ascii="仿宋" w:hAnsi="仿宋" w:eastAsia="仿宋" w:cs="仿宋"/>
          <w:color w:val="auto"/>
          <w:lang w:eastAsia="zh-CN"/>
        </w:rPr>
      </w:pPr>
      <w:r>
        <w:rPr>
          <w:rFonts w:hint="eastAsia" w:ascii="仿宋" w:hAnsi="仿宋" w:eastAsia="仿宋" w:cs="仿宋"/>
          <w:color w:val="auto"/>
          <w:lang w:eastAsia="zh-CN"/>
        </w:rPr>
        <w:t>4.2准备阶段</w:t>
      </w:r>
    </w:p>
    <w:p w14:paraId="1885410A">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4.2.1</w:t>
      </w:r>
      <w:r>
        <w:rPr>
          <w:rFonts w:hint="eastAsia" w:ascii="仿宋" w:hAnsi="仿宋" w:eastAsia="仿宋" w:cs="仿宋"/>
          <w:color w:val="auto"/>
        </w:rPr>
        <w:t>风险管理机构应在接到保险公司的风险管理工作任务之日起</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个工</w:t>
      </w:r>
      <w:r>
        <w:rPr>
          <w:rFonts w:hint="eastAsia" w:ascii="仿宋" w:hAnsi="仿宋" w:eastAsia="仿宋" w:cs="仿宋"/>
          <w:color w:val="auto"/>
        </w:rPr>
        <w:t>作日内完成资料收集、编制工作服务计划并向保险公司提交相关资料：</w:t>
      </w:r>
    </w:p>
    <w:p w14:paraId="6CC734E6">
      <w:pPr>
        <w:pStyle w:val="10"/>
        <w:spacing w:line="560" w:lineRule="exact"/>
        <w:ind w:firstLine="420"/>
        <w:rPr>
          <w:rFonts w:hint="eastAsia" w:ascii="仿宋" w:hAnsi="仿宋" w:eastAsia="仿宋" w:cs="仿宋"/>
          <w:color w:val="auto"/>
        </w:rPr>
      </w:pPr>
      <w:r>
        <w:rPr>
          <w:rFonts w:hint="eastAsia" w:ascii="仿宋" w:hAnsi="仿宋" w:eastAsia="仿宋" w:cs="仿宋"/>
          <w:color w:val="auto"/>
        </w:rPr>
        <w:t>（1）收集相关的工程资料，对工程中可能出现的质量风险进行事先评估，结合保险条款提交风险初步分析报告；如发现风险时及时提出风险警示，提交各专项评估报告、缺陷清单。</w:t>
      </w:r>
    </w:p>
    <w:p w14:paraId="5266156D">
      <w:pPr>
        <w:pStyle w:val="10"/>
        <w:spacing w:line="560" w:lineRule="exact"/>
        <w:ind w:firstLine="420"/>
        <w:rPr>
          <w:rFonts w:hint="eastAsia" w:ascii="仿宋" w:hAnsi="仿宋" w:eastAsia="仿宋" w:cs="仿宋"/>
          <w:color w:val="auto"/>
        </w:rPr>
      </w:pPr>
      <w:r>
        <w:rPr>
          <w:rFonts w:hint="eastAsia" w:ascii="仿宋" w:hAnsi="仿宋" w:eastAsia="仿宋" w:cs="仿宋"/>
          <w:color w:val="auto"/>
        </w:rPr>
        <w:t>（2）编制</w:t>
      </w:r>
      <w:r>
        <w:rPr>
          <w:rFonts w:hint="eastAsia" w:ascii="仿宋" w:hAnsi="仿宋" w:eastAsia="仿宋" w:cs="仿宋"/>
          <w:color w:val="auto"/>
          <w:lang w:eastAsia="zh-CN"/>
        </w:rPr>
        <w:t>风险管理机构</w:t>
      </w:r>
      <w:r>
        <w:rPr>
          <w:rFonts w:hint="eastAsia" w:ascii="仿宋" w:hAnsi="仿宋" w:eastAsia="仿宋" w:cs="仿宋"/>
          <w:color w:val="auto"/>
        </w:rPr>
        <w:t>工作服务计划；在项目开工前，会同保险公司及项目参建各方召开工程质量风险管理服务进场交底会；</w:t>
      </w:r>
    </w:p>
    <w:p w14:paraId="10A7838B">
      <w:pPr>
        <w:pStyle w:val="10"/>
        <w:spacing w:line="560" w:lineRule="exact"/>
        <w:ind w:firstLine="420"/>
        <w:rPr>
          <w:rFonts w:hint="eastAsia" w:ascii="仿宋" w:hAnsi="仿宋" w:eastAsia="仿宋" w:cs="仿宋"/>
          <w:color w:val="auto"/>
        </w:rPr>
      </w:pPr>
      <w:r>
        <w:rPr>
          <w:rFonts w:hint="eastAsia" w:ascii="仿宋" w:hAnsi="仿宋" w:eastAsia="仿宋" w:cs="仿宋"/>
          <w:color w:val="auto"/>
        </w:rPr>
        <w:t>4.2.2设计单位项目负责人应在规定时限内将技术风险问题整改资料递交给风险管理机构，整改资料包括但不限于：修改前后的设计图纸、计算书、影像资料及其他说明材料。风险管理机构应根据提交的整改资料，对整改情况进行复核，提出复核意见。整改完成的，应完成销项。</w:t>
      </w:r>
    </w:p>
    <w:p w14:paraId="18AB2990">
      <w:pPr>
        <w:pStyle w:val="10"/>
        <w:spacing w:line="560" w:lineRule="exact"/>
        <w:ind w:firstLine="420"/>
        <w:rPr>
          <w:rFonts w:hint="eastAsia" w:ascii="仿宋" w:hAnsi="仿宋" w:eastAsia="仿宋" w:cs="仿宋"/>
          <w:color w:val="auto"/>
        </w:rPr>
      </w:pPr>
      <w:r>
        <w:rPr>
          <w:rFonts w:hint="eastAsia" w:ascii="仿宋" w:hAnsi="仿宋" w:eastAsia="仿宋" w:cs="仿宋"/>
          <w:color w:val="auto"/>
        </w:rPr>
        <w:t>4.2.3风险管理机构应根据设计质量风险清单回复文件，核对复查施工图设计文件的落实情况，并开展设计风险分析，编制各项设计质量风险分析报告提交给保险公司。</w:t>
      </w:r>
    </w:p>
    <w:p w14:paraId="02C4342A">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4.2.4</w:t>
      </w:r>
      <w:r>
        <w:rPr>
          <w:rFonts w:hint="eastAsia" w:ascii="仿宋" w:hAnsi="仿宋" w:eastAsia="仿宋" w:cs="仿宋"/>
          <w:color w:val="auto"/>
          <w:lang w:eastAsia="zh-CN"/>
        </w:rPr>
        <w:t>项目负责人</w:t>
      </w:r>
      <w:r>
        <w:rPr>
          <w:rFonts w:hint="eastAsia" w:ascii="仿宋" w:hAnsi="仿宋" w:eastAsia="仿宋" w:cs="仿宋"/>
          <w:color w:val="auto"/>
        </w:rPr>
        <w:t>应根据工期进度和对建设工程主要风险的分析，主持编制项目风险管理机构工作检查计划。</w:t>
      </w:r>
    </w:p>
    <w:p w14:paraId="077D4E12">
      <w:pPr>
        <w:widowControl w:val="0"/>
        <w:kinsoku/>
        <w:adjustRightInd/>
        <w:snapToGrid/>
        <w:spacing w:line="560" w:lineRule="exact"/>
        <w:ind w:firstLine="420" w:firstLineChars="200"/>
        <w:jc w:val="left"/>
        <w:textAlignment w:val="auto"/>
        <w:rPr>
          <w:rFonts w:hint="eastAsia" w:ascii="仿宋" w:hAnsi="仿宋" w:eastAsia="仿宋" w:cs="仿宋"/>
          <w:color w:val="auto"/>
          <w:lang w:val="zh-CN" w:eastAsia="zh-CN" w:bidi="zh-CN"/>
        </w:rPr>
      </w:pPr>
      <w:r>
        <w:rPr>
          <w:rFonts w:hint="eastAsia" w:ascii="仿宋" w:hAnsi="仿宋" w:eastAsia="仿宋" w:cs="仿宋"/>
          <w:color w:val="auto"/>
          <w:lang w:val="zh-CN" w:eastAsia="zh-CN" w:bidi="zh-CN"/>
        </w:rPr>
        <w:t>风险管理机构工作检查计划应包括各个阶段的工作内容、专业人员配备、技术手段等。</w:t>
      </w:r>
    </w:p>
    <w:p w14:paraId="7E1F2EC5">
      <w:pPr>
        <w:pStyle w:val="10"/>
        <w:widowControl w:val="0"/>
        <w:kinsoku/>
        <w:adjustRightInd/>
        <w:snapToGrid/>
        <w:spacing w:line="560" w:lineRule="exact"/>
        <w:ind w:firstLine="420" w:firstLineChars="200"/>
        <w:jc w:val="left"/>
        <w:textAlignment w:val="auto"/>
        <w:rPr>
          <w:rFonts w:hint="eastAsia" w:ascii="仿宋" w:hAnsi="仿宋" w:eastAsia="仿宋" w:cs="仿宋"/>
          <w:color w:val="auto"/>
          <w:lang w:val="zh-CN" w:eastAsia="zh-CN" w:bidi="zh-CN"/>
        </w:rPr>
      </w:pPr>
      <w:r>
        <w:rPr>
          <w:rFonts w:hint="eastAsia" w:ascii="仿宋" w:hAnsi="仿宋" w:eastAsia="仿宋" w:cs="仿宋"/>
          <w:color w:val="auto"/>
          <w:lang w:val="en-US"/>
        </w:rPr>
        <w:t>4.2.5</w:t>
      </w:r>
      <w:r>
        <w:rPr>
          <w:rFonts w:hint="eastAsia" w:ascii="仿宋" w:hAnsi="仿宋" w:eastAsia="仿宋" w:cs="仿宋"/>
          <w:color w:val="auto"/>
        </w:rPr>
        <w:t>风险管理机构工作检查计划编制完成后5个工作日内，主承保公司应组织风险管理机构、建设单位及项目参建各方召开风险管理交底会，风险管理交底会上</w:t>
      </w:r>
      <w:r>
        <w:rPr>
          <w:rFonts w:hint="eastAsia" w:ascii="仿宋" w:hAnsi="仿宋" w:eastAsia="仿宋" w:cs="仿宋"/>
          <w:color w:val="auto"/>
          <w:lang w:eastAsia="zh-CN"/>
        </w:rPr>
        <w:t>项目负责人</w:t>
      </w:r>
      <w:r>
        <w:rPr>
          <w:rFonts w:hint="eastAsia" w:ascii="仿宋" w:hAnsi="仿宋" w:eastAsia="仿宋" w:cs="仿宋"/>
          <w:color w:val="auto"/>
        </w:rPr>
        <w:t>应开展质量风险管理交底，并形成会议纪要材料（包括会议纪要、交底文件、签到表、会议影像资料）。</w:t>
      </w:r>
      <w:r>
        <w:rPr>
          <w:rFonts w:hint="eastAsia" w:ascii="仿宋" w:hAnsi="仿宋" w:eastAsia="仿宋" w:cs="仿宋"/>
          <w:color w:val="auto"/>
          <w:lang w:val="zh-CN" w:eastAsia="zh-CN" w:bidi="zh-CN"/>
        </w:rPr>
        <w:t>质量风险管理交底应包括风险管理相关政策、风险管理机构工作检查计划、建设工程中可能存在的质量风险点、过程中质量检查方式以及参建单位需配合事宜等。</w:t>
      </w:r>
    </w:p>
    <w:p w14:paraId="3BEC9BC5">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4.2.6</w:t>
      </w:r>
      <w:r>
        <w:rPr>
          <w:rFonts w:hint="eastAsia" w:ascii="仿宋" w:hAnsi="仿宋" w:eastAsia="仿宋" w:cs="仿宋"/>
          <w:color w:val="auto"/>
        </w:rPr>
        <w:t>质量风险管理交底会后3个工作/日内，风险管理机构应形成初步风险分析报告、风险管理机构工作检查计划、风险管理交底会议纪要等材料，并根据工程项目工期</w:t>
      </w:r>
      <w:r>
        <w:rPr>
          <w:rFonts w:hint="eastAsia" w:ascii="仿宋" w:hAnsi="仿宋" w:eastAsia="仿宋" w:cs="仿宋"/>
          <w:color w:val="auto"/>
          <w:lang w:eastAsia="zh-CN"/>
        </w:rPr>
        <w:t>，</w:t>
      </w:r>
      <w:r>
        <w:rPr>
          <w:rFonts w:hint="eastAsia" w:ascii="仿宋" w:hAnsi="仿宋" w:eastAsia="仿宋" w:cs="仿宋"/>
          <w:color w:val="auto"/>
        </w:rPr>
        <w:t>编制质量风险全过程检查生产计划，提交给保险公司审核。</w:t>
      </w:r>
    </w:p>
    <w:p w14:paraId="630DBBE4">
      <w:pPr>
        <w:pStyle w:val="10"/>
        <w:spacing w:line="560" w:lineRule="exact"/>
        <w:ind w:firstLine="420"/>
        <w:rPr>
          <w:rFonts w:hint="eastAsia" w:ascii="仿宋" w:hAnsi="仿宋" w:eastAsia="仿宋" w:cs="仿宋"/>
          <w:color w:val="auto"/>
          <w:highlight w:val="none"/>
        </w:rPr>
      </w:pPr>
      <w:r>
        <w:rPr>
          <w:rFonts w:hint="eastAsia" w:ascii="仿宋" w:hAnsi="仿宋" w:eastAsia="仿宋" w:cs="仿宋"/>
          <w:color w:val="auto"/>
          <w:highlight w:val="none"/>
          <w:lang w:val="en-US"/>
        </w:rPr>
        <w:t>4.2.7</w:t>
      </w:r>
      <w:r>
        <w:rPr>
          <w:rFonts w:hint="eastAsia" w:ascii="仿宋" w:hAnsi="仿宋" w:eastAsia="仿宋" w:cs="仿宋"/>
          <w:color w:val="auto"/>
          <w:highlight w:val="none"/>
        </w:rPr>
        <w:t>主承保公司</w:t>
      </w:r>
      <w:r>
        <w:rPr>
          <w:rFonts w:hint="eastAsia" w:ascii="仿宋" w:hAnsi="仿宋" w:eastAsia="仿宋" w:cs="仿宋"/>
          <w:color w:val="auto"/>
          <w:highlight w:val="none"/>
          <w:lang w:eastAsia="zh-CN"/>
        </w:rPr>
        <w:t>住宅质量保险</w:t>
      </w:r>
      <w:r>
        <w:rPr>
          <w:rFonts w:hint="eastAsia" w:ascii="仿宋" w:hAnsi="仿宋" w:eastAsia="仿宋" w:cs="仿宋"/>
          <w:color w:val="auto"/>
          <w:highlight w:val="none"/>
        </w:rPr>
        <w:t>项目经理应参与风险管理工作交底并审批全过程检查生产计划。</w:t>
      </w:r>
    </w:p>
    <w:p w14:paraId="6869CDEA">
      <w:pPr>
        <w:pStyle w:val="4"/>
        <w:spacing w:line="560" w:lineRule="exact"/>
        <w:rPr>
          <w:rFonts w:hint="eastAsia" w:ascii="仿宋" w:hAnsi="仿宋" w:eastAsia="仿宋" w:cs="仿宋"/>
          <w:color w:val="auto"/>
          <w:lang w:eastAsia="zh-CN"/>
        </w:rPr>
      </w:pPr>
      <w:r>
        <w:rPr>
          <w:rFonts w:hint="eastAsia" w:ascii="仿宋" w:hAnsi="仿宋" w:eastAsia="仿宋" w:cs="仿宋"/>
          <w:color w:val="auto"/>
          <w:lang w:eastAsia="zh-CN"/>
        </w:rPr>
        <w:t>4.3施工阶段</w:t>
      </w:r>
    </w:p>
    <w:p w14:paraId="46EEDC96">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4.3.1</w:t>
      </w:r>
      <w:r>
        <w:rPr>
          <w:rFonts w:hint="eastAsia" w:ascii="仿宋" w:hAnsi="仿宋" w:eastAsia="仿宋" w:cs="仿宋"/>
          <w:color w:val="auto"/>
        </w:rPr>
        <w:t>在施工阶段，风险管理机构应编制月度质量风险过程检查生产计划，依据月度质量风险过程检查生产计划对项目工程质量展开风险检查，出具质量风险问题清单及质量风险检查报告，并对技术风险问题的整改情况进行跟踪和记录。</w:t>
      </w:r>
    </w:p>
    <w:p w14:paraId="1CDDC8B8">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4.3.2</w:t>
      </w:r>
      <w:r>
        <w:rPr>
          <w:rFonts w:hint="eastAsia" w:ascii="仿宋" w:hAnsi="仿宋" w:eastAsia="仿宋" w:cs="仿宋"/>
          <w:color w:val="auto"/>
        </w:rPr>
        <w:t>月度质量风险过程检查生产计划的编制与变更应符合以下规定：</w:t>
      </w:r>
    </w:p>
    <w:p w14:paraId="4BA1391F">
      <w:pPr>
        <w:pStyle w:val="10"/>
        <w:numPr>
          <w:ilvl w:val="0"/>
          <w:numId w:val="8"/>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每月25日前，</w:t>
      </w:r>
      <w:r>
        <w:rPr>
          <w:rFonts w:hint="eastAsia" w:ascii="仿宋" w:hAnsi="仿宋" w:eastAsia="仿宋" w:cs="仿宋"/>
          <w:color w:val="auto"/>
          <w:lang w:eastAsia="zh-CN"/>
        </w:rPr>
        <w:t>项目负责人</w:t>
      </w:r>
      <w:r>
        <w:rPr>
          <w:rFonts w:hint="eastAsia" w:ascii="仿宋" w:hAnsi="仿宋" w:eastAsia="仿宋" w:cs="仿宋"/>
          <w:color w:val="auto"/>
        </w:rPr>
        <w:t>应根据质量风险全过程检查生产计划以及工程实际进度，细化编制月度质量风险过程检查生产计划，动态调整工作内容、风险管理资源配置、工作方法，经主承保公司审批后执行。</w:t>
      </w:r>
    </w:p>
    <w:p w14:paraId="0969E17B">
      <w:pPr>
        <w:pStyle w:val="10"/>
        <w:numPr>
          <w:ilvl w:val="0"/>
          <w:numId w:val="8"/>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highlight w:val="none"/>
        </w:rPr>
        <w:t>主承保公司</w:t>
      </w:r>
      <w:r>
        <w:rPr>
          <w:rFonts w:hint="eastAsia" w:ascii="仿宋" w:hAnsi="仿宋" w:eastAsia="仿宋" w:cs="仿宋"/>
          <w:color w:val="auto"/>
          <w:highlight w:val="none"/>
          <w:lang w:eastAsia="zh-CN"/>
        </w:rPr>
        <w:t>住宅质量保险</w:t>
      </w:r>
      <w:r>
        <w:rPr>
          <w:rFonts w:hint="eastAsia" w:ascii="仿宋" w:hAnsi="仿宋" w:eastAsia="仿宋" w:cs="仿宋"/>
          <w:color w:val="auto"/>
          <w:highlight w:val="none"/>
        </w:rPr>
        <w:t>项目经理应审批月度质</w:t>
      </w:r>
      <w:r>
        <w:rPr>
          <w:rFonts w:hint="eastAsia" w:ascii="仿宋" w:hAnsi="仿宋" w:eastAsia="仿宋" w:cs="仿宋"/>
          <w:color w:val="auto"/>
        </w:rPr>
        <w:t>量风险过程检查生产计划。</w:t>
      </w:r>
    </w:p>
    <w:p w14:paraId="56CFB158">
      <w:pPr>
        <w:pStyle w:val="10"/>
        <w:numPr>
          <w:ilvl w:val="0"/>
          <w:numId w:val="8"/>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月度质量风险过程检查生产计划如需变更时，风险管理机构应提前24小时告知主承保公司。</w:t>
      </w:r>
    </w:p>
    <w:p w14:paraId="1E717666">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4.3.3</w:t>
      </w:r>
      <w:r>
        <w:rPr>
          <w:rFonts w:hint="eastAsia" w:ascii="仿宋" w:hAnsi="仿宋" w:eastAsia="仿宋" w:cs="仿宋"/>
          <w:color w:val="auto"/>
          <w:lang w:eastAsia="zh-CN"/>
        </w:rPr>
        <w:t>项目负责人</w:t>
      </w:r>
      <w:r>
        <w:rPr>
          <w:rFonts w:hint="eastAsia" w:ascii="仿宋" w:hAnsi="仿宋" w:eastAsia="仿宋" w:cs="仿宋"/>
          <w:color w:val="auto"/>
        </w:rPr>
        <w:t>应按照月度质量风险过程检查生产计划组织质量风险过程检查，风险管理工程师应采集工程现场信息，记录技术风险问题。</w:t>
      </w:r>
    </w:p>
    <w:p w14:paraId="1FD66D05">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4.3.4</w:t>
      </w:r>
      <w:r>
        <w:rPr>
          <w:rFonts w:hint="eastAsia" w:ascii="仿宋" w:hAnsi="仿宋" w:eastAsia="仿宋" w:cs="仿宋"/>
          <w:color w:val="auto"/>
        </w:rPr>
        <w:t>风险管理机构应将质量风险过程检查中发现的技术风险问题形成清单，并由</w:t>
      </w:r>
      <w:r>
        <w:rPr>
          <w:rFonts w:hint="eastAsia" w:ascii="仿宋" w:hAnsi="仿宋" w:eastAsia="仿宋" w:cs="仿宋"/>
          <w:color w:val="auto"/>
          <w:lang w:eastAsia="zh-CN"/>
        </w:rPr>
        <w:t>项目负责人</w:t>
      </w:r>
      <w:r>
        <w:rPr>
          <w:rFonts w:hint="eastAsia" w:ascii="仿宋" w:hAnsi="仿宋" w:eastAsia="仿宋" w:cs="仿宋"/>
          <w:color w:val="auto"/>
        </w:rPr>
        <w:t>审核，涉及严重技术风险的须经技术负责人审核。</w:t>
      </w:r>
    </w:p>
    <w:p w14:paraId="1FFB1B60">
      <w:pPr>
        <w:widowControl w:val="0"/>
        <w:kinsoku/>
        <w:adjustRightInd/>
        <w:snapToGrid/>
        <w:spacing w:line="560" w:lineRule="exact"/>
        <w:ind w:firstLine="482" w:firstLineChars="200"/>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技术风险问题材料应符合以下要求：</w:t>
      </w:r>
    </w:p>
    <w:p w14:paraId="1C37741A">
      <w:pPr>
        <w:pStyle w:val="10"/>
        <w:spacing w:line="560" w:lineRule="exact"/>
        <w:ind w:firstLine="420"/>
        <w:rPr>
          <w:rFonts w:hint="eastAsia" w:ascii="仿宋" w:hAnsi="仿宋" w:eastAsia="仿宋" w:cs="仿宋"/>
          <w:color w:val="auto"/>
        </w:rPr>
      </w:pPr>
      <w:r>
        <w:rPr>
          <w:rFonts w:hint="eastAsia" w:ascii="仿宋" w:hAnsi="仿宋" w:eastAsia="仿宋" w:cs="仿宋"/>
          <w:color w:val="auto"/>
        </w:rPr>
        <w:t>技术风险问题的材料应包括但不限于技术风险问题的影像资料、整改建议和其他说明材料</w:t>
      </w:r>
      <w:r>
        <w:rPr>
          <w:rFonts w:hint="eastAsia" w:ascii="仿宋" w:hAnsi="仿宋" w:eastAsia="仿宋" w:cs="仿宋"/>
          <w:color w:val="auto"/>
          <w:lang w:eastAsia="zh-CN"/>
        </w:rPr>
        <w:t>。</w:t>
      </w:r>
    </w:p>
    <w:p w14:paraId="003287A2">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4.3.5</w:t>
      </w:r>
      <w:r>
        <w:rPr>
          <w:rFonts w:hint="eastAsia" w:ascii="仿宋" w:hAnsi="仿宋" w:eastAsia="仿宋" w:cs="仿宋"/>
          <w:color w:val="auto"/>
        </w:rPr>
        <w:t>技术风险问题的整改应符合以下要求：</w:t>
      </w:r>
    </w:p>
    <w:p w14:paraId="7464CB82">
      <w:pPr>
        <w:pStyle w:val="10"/>
        <w:numPr>
          <w:ilvl w:val="0"/>
          <w:numId w:val="9"/>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应即时将技术风险问题信息传递至建设单位项目负责人、总包单位项目经理、项目质量负责人和总监理工程师。</w:t>
      </w:r>
    </w:p>
    <w:p w14:paraId="39EB58C2">
      <w:pPr>
        <w:pStyle w:val="10"/>
        <w:numPr>
          <w:ilvl w:val="0"/>
          <w:numId w:val="9"/>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技术风险问题整改后，</w:t>
      </w:r>
      <w:r>
        <w:rPr>
          <w:rFonts w:hint="eastAsia" w:ascii="仿宋" w:hAnsi="仿宋" w:eastAsia="仿宋" w:cs="仿宋"/>
          <w:color w:val="auto"/>
          <w:lang w:val="en-US" w:eastAsia="zh-CN"/>
        </w:rPr>
        <w:t>建设单位应要求</w:t>
      </w:r>
      <w:r>
        <w:rPr>
          <w:rFonts w:hint="eastAsia" w:ascii="仿宋" w:hAnsi="仿宋" w:eastAsia="仿宋" w:cs="仿宋"/>
          <w:color w:val="auto"/>
          <w:shd w:val="clear"/>
        </w:rPr>
        <w:t>施工单位项目质量管理人员应将整改前后的对比影像资料、整改措施和其他说明材料，提交至风险管理机构。</w:t>
      </w:r>
    </w:p>
    <w:p w14:paraId="45BA9F32">
      <w:pPr>
        <w:pStyle w:val="10"/>
        <w:numPr>
          <w:ilvl w:val="0"/>
          <w:numId w:val="9"/>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整改回复经总包单位项目经理、总监理工程师、建设单位项目负责人确认，最终由风险管理机构完成销项。</w:t>
      </w:r>
    </w:p>
    <w:p w14:paraId="1779F2B4">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4.3.6</w:t>
      </w:r>
      <w:r>
        <w:rPr>
          <w:rFonts w:hint="eastAsia" w:ascii="仿宋" w:hAnsi="仿宋" w:eastAsia="仿宋" w:cs="仿宋"/>
          <w:color w:val="auto"/>
        </w:rPr>
        <w:t>常见严重技术风险问题认定宜参考附录D，严重技术风险整改应符合以下要求：</w:t>
      </w:r>
    </w:p>
    <w:p w14:paraId="532BC6F2">
      <w:pPr>
        <w:pStyle w:val="10"/>
        <w:numPr>
          <w:ilvl w:val="0"/>
          <w:numId w:val="10"/>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风险管理机构应开展严重技术风险问题专项整改复查，并出具严重技术风险问题专项复查报告。</w:t>
      </w:r>
    </w:p>
    <w:p w14:paraId="7003B253">
      <w:pPr>
        <w:pStyle w:val="10"/>
        <w:numPr>
          <w:ilvl w:val="0"/>
          <w:numId w:val="10"/>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严重技术风险问题专项复查报告包括以下内容：严重技术风险问题及整改情况、复查情况等。</w:t>
      </w:r>
    </w:p>
    <w:p w14:paraId="4C53A778">
      <w:pPr>
        <w:pStyle w:val="10"/>
        <w:numPr>
          <w:ilvl w:val="0"/>
          <w:numId w:val="10"/>
        </w:numPr>
        <w:tabs>
          <w:tab w:val="clear" w:pos="1415"/>
        </w:tabs>
        <w:spacing w:line="560" w:lineRule="exact"/>
        <w:ind w:left="425" w:hanging="5" w:firstLineChars="0"/>
        <w:rPr>
          <w:rFonts w:hint="eastAsia" w:ascii="仿宋" w:hAnsi="仿宋" w:eastAsia="仿宋" w:cs="仿宋"/>
          <w:color w:val="auto"/>
        </w:rPr>
      </w:pPr>
      <w:r>
        <w:rPr>
          <w:rFonts w:hint="eastAsia" w:ascii="仿宋" w:hAnsi="仿宋" w:eastAsia="仿宋" w:cs="仿宋"/>
          <w:color w:val="auto"/>
        </w:rPr>
        <w:t>风险管理机构应将严重技术风险问题专项复查报告报送主承保公司审核，主承保公司</w:t>
      </w:r>
      <w:r>
        <w:rPr>
          <w:rFonts w:hint="eastAsia" w:ascii="仿宋" w:hAnsi="仿宋" w:eastAsia="仿宋" w:cs="仿宋"/>
          <w:color w:val="auto"/>
          <w:lang w:eastAsia="zh-CN"/>
        </w:rPr>
        <w:t>住宅质量保险</w:t>
      </w:r>
      <w:r>
        <w:rPr>
          <w:rFonts w:hint="eastAsia" w:ascii="仿宋" w:hAnsi="仿宋" w:eastAsia="仿宋" w:cs="仿宋"/>
          <w:color w:val="auto"/>
        </w:rPr>
        <w:t>项目经理需审核严重技术风险问题专项复查报告。</w:t>
      </w:r>
    </w:p>
    <w:p w14:paraId="64E40BBA">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4.3.7</w:t>
      </w:r>
      <w:r>
        <w:rPr>
          <w:rFonts w:hint="eastAsia" w:ascii="仿宋" w:hAnsi="仿宋" w:eastAsia="仿宋" w:cs="仿宋"/>
          <w:color w:val="auto"/>
        </w:rPr>
        <w:t>风险管理机构应根据检查情况及时编制检查报告，自检查完成之日起3个工作日内提交至主承保公司和参建单位。</w:t>
      </w:r>
    </w:p>
    <w:p w14:paraId="6513AD45">
      <w:pPr>
        <w:widowControl w:val="0"/>
        <w:kinsoku/>
        <w:adjustRightInd/>
        <w:snapToGrid/>
        <w:spacing w:line="560" w:lineRule="exact"/>
        <w:ind w:firstLine="420" w:firstLineChars="200"/>
        <w:textAlignment w:val="auto"/>
        <w:rPr>
          <w:rFonts w:hint="eastAsia" w:ascii="仿宋" w:hAnsi="仿宋" w:eastAsia="仿宋" w:cs="仿宋"/>
          <w:color w:val="auto"/>
          <w:sz w:val="21"/>
          <w:szCs w:val="21"/>
          <w:lang w:val="zh-CN" w:eastAsia="zh-CN" w:bidi="zh-CN"/>
        </w:rPr>
      </w:pPr>
      <w:r>
        <w:rPr>
          <w:rFonts w:hint="eastAsia" w:ascii="仿宋" w:hAnsi="仿宋" w:eastAsia="仿宋" w:cs="仿宋"/>
          <w:color w:val="auto"/>
          <w:sz w:val="21"/>
          <w:szCs w:val="21"/>
          <w:lang w:val="zh-CN" w:eastAsia="zh-CN" w:bidi="zh-CN"/>
        </w:rPr>
        <w:t>主承保公司住宅质量保险项目经理需实施飞行检查并审核《质量风险检查报告》。</w:t>
      </w:r>
    </w:p>
    <w:p w14:paraId="0047F0C3">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4.3.8</w:t>
      </w:r>
      <w:r>
        <w:rPr>
          <w:rFonts w:hint="eastAsia" w:ascii="仿宋" w:hAnsi="仿宋" w:eastAsia="仿宋" w:cs="仿宋"/>
          <w:color w:val="auto"/>
        </w:rPr>
        <w:t>风险管理机构应在勘察、设计、施工、竣工、回访各阶段提供阶段质量风险分析报告，如项目涉及新工艺、新技术等，应提供专项风险分析报告。</w:t>
      </w:r>
    </w:p>
    <w:p w14:paraId="482902D8">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4.3.9</w:t>
      </w:r>
      <w:r>
        <w:rPr>
          <w:rFonts w:hint="eastAsia" w:ascii="仿宋" w:hAnsi="仿宋" w:eastAsia="仿宋" w:cs="仿宋"/>
          <w:color w:val="auto"/>
        </w:rPr>
        <w:t>风险管理机构应在相应建设阶段完成后15个工作日内完成阶段分析报告编制，并报送主承保公司审核。</w:t>
      </w:r>
    </w:p>
    <w:p w14:paraId="14C3E652">
      <w:pPr>
        <w:widowControl w:val="0"/>
        <w:kinsoku/>
        <w:adjustRightInd/>
        <w:snapToGrid/>
        <w:spacing w:line="560" w:lineRule="exact"/>
        <w:ind w:firstLine="42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1"/>
          <w:szCs w:val="21"/>
          <w:lang w:eastAsia="zh-CN" w:bidi="zh-CN"/>
        </w:rPr>
        <w:t>主承保公司住宅质量保险项目经理需审核《阶段质量风险分析报告》。</w:t>
      </w:r>
    </w:p>
    <w:p w14:paraId="17C3A6B6">
      <w:pPr>
        <w:pStyle w:val="4"/>
        <w:spacing w:line="560" w:lineRule="exact"/>
        <w:rPr>
          <w:rFonts w:hint="eastAsia" w:ascii="仿宋" w:hAnsi="仿宋" w:eastAsia="仿宋" w:cs="仿宋"/>
          <w:color w:val="auto"/>
          <w:lang w:eastAsia="zh-CN"/>
        </w:rPr>
      </w:pPr>
      <w:r>
        <w:rPr>
          <w:rFonts w:hint="eastAsia" w:ascii="仿宋" w:hAnsi="仿宋" w:eastAsia="仿宋" w:cs="仿宋"/>
          <w:color w:val="auto"/>
          <w:lang w:eastAsia="zh-CN"/>
        </w:rPr>
        <w:t>4.4回访阶段</w:t>
      </w:r>
    </w:p>
    <w:p w14:paraId="1698FCD7">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4.4.1</w:t>
      </w:r>
      <w:r>
        <w:rPr>
          <w:rFonts w:hint="eastAsia" w:ascii="仿宋" w:hAnsi="仿宋" w:eastAsia="仿宋" w:cs="仿宋"/>
          <w:color w:val="auto"/>
        </w:rPr>
        <w:t>工程完工后，风险管理机构应对整个工程实施过程中的质量检查情况、技术风险问题整改跟踪情况进行汇总评价，编制最终风险评估报告。</w:t>
      </w:r>
    </w:p>
    <w:p w14:paraId="397302C2">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4.4.2</w:t>
      </w:r>
      <w:r>
        <w:rPr>
          <w:rFonts w:hint="eastAsia" w:ascii="仿宋" w:hAnsi="仿宋" w:eastAsia="仿宋" w:cs="仿宋"/>
          <w:color w:val="auto"/>
        </w:rPr>
        <w:t>风险管理机构应将最终风险评估报告报送至主承保公司审核。主承保公司</w:t>
      </w:r>
      <w:r>
        <w:rPr>
          <w:rFonts w:hint="eastAsia" w:ascii="仿宋" w:hAnsi="仿宋" w:eastAsia="仿宋" w:cs="仿宋"/>
          <w:color w:val="auto"/>
          <w:lang w:eastAsia="zh-CN"/>
        </w:rPr>
        <w:t>住宅质量保险</w:t>
      </w:r>
      <w:r>
        <w:rPr>
          <w:rFonts w:hint="eastAsia" w:ascii="仿宋" w:hAnsi="仿宋" w:eastAsia="仿宋" w:cs="仿宋"/>
          <w:color w:val="auto"/>
        </w:rPr>
        <w:t>项目经理审核《最终风险评估报告》。</w:t>
      </w:r>
    </w:p>
    <w:p w14:paraId="224E94A9">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4.4.3</w:t>
      </w:r>
      <w:r>
        <w:rPr>
          <w:rFonts w:hint="eastAsia" w:ascii="仿宋" w:hAnsi="仿宋" w:eastAsia="仿宋" w:cs="仿宋"/>
          <w:color w:val="auto"/>
        </w:rPr>
        <w:t>最终风险评估报告应包括以下内容：检查情况汇总（含“业主房屋质量预看房”制度执行情况）、整改销项技术风险问题汇总、未销项技术风险问题汇总及可能存在隐患的说明和工程质量情况的总体评价等。</w:t>
      </w:r>
    </w:p>
    <w:p w14:paraId="4832B355">
      <w:pPr>
        <w:pStyle w:val="10"/>
        <w:spacing w:line="560" w:lineRule="exact"/>
        <w:ind w:firstLine="420"/>
        <w:rPr>
          <w:rFonts w:hint="eastAsia" w:ascii="仿宋" w:hAnsi="仿宋" w:eastAsia="仿宋" w:cs="仿宋"/>
          <w:color w:val="auto"/>
        </w:rPr>
      </w:pPr>
      <w:r>
        <w:rPr>
          <w:rFonts w:hint="eastAsia" w:ascii="仿宋" w:hAnsi="仿宋" w:eastAsia="仿宋" w:cs="仿宋"/>
          <w:color w:val="auto"/>
          <w:lang w:val="en-US"/>
        </w:rPr>
        <w:t>4.4.4</w:t>
      </w:r>
      <w:r>
        <w:rPr>
          <w:rFonts w:hint="eastAsia" w:ascii="仿宋" w:hAnsi="仿宋" w:eastAsia="仿宋" w:cs="仿宋"/>
          <w:color w:val="auto"/>
        </w:rPr>
        <w:t>在回访阶段，风险管理机构应开展质量回访检查，组织回访检查交底会，出具回访检查报告，并参与理赔交底会。</w:t>
      </w:r>
    </w:p>
    <w:p w14:paraId="0E42B3BE">
      <w:pPr>
        <w:pStyle w:val="10"/>
        <w:spacing w:line="560" w:lineRule="exact"/>
        <w:ind w:firstLine="420"/>
        <w:rPr>
          <w:rFonts w:hint="eastAsia" w:ascii="仿宋" w:hAnsi="仿宋" w:eastAsia="仿宋" w:cs="仿宋"/>
          <w:color w:val="auto"/>
          <w:lang w:val="en-US"/>
        </w:rPr>
      </w:pPr>
      <w:r>
        <w:rPr>
          <w:rFonts w:hint="eastAsia" w:ascii="仿宋" w:hAnsi="仿宋" w:eastAsia="仿宋" w:cs="仿宋"/>
          <w:color w:val="auto"/>
          <w:lang w:val="en-US"/>
        </w:rPr>
        <w:t>4.4.5风险管理机构的质量回访检查频次与节点应符合表4.4.6规定，回访参与人员、回访内容应符合附录E规定。</w:t>
      </w:r>
    </w:p>
    <w:p w14:paraId="7CFFFBBE">
      <w:pPr>
        <w:pStyle w:val="10"/>
        <w:spacing w:line="560" w:lineRule="exact"/>
        <w:ind w:firstLine="420"/>
        <w:rPr>
          <w:rFonts w:hint="eastAsia" w:ascii="仿宋" w:hAnsi="仿宋" w:eastAsia="仿宋" w:cs="仿宋"/>
          <w:color w:val="FF0000"/>
          <w:highlight w:val="yellow"/>
          <w:lang w:val="en-US"/>
        </w:rPr>
      </w:pPr>
    </w:p>
    <w:p w14:paraId="4111D367">
      <w:pPr>
        <w:widowControl w:val="0"/>
        <w:kinsoku/>
        <w:adjustRightInd/>
        <w:snapToGrid/>
        <w:spacing w:line="560" w:lineRule="exact"/>
        <w:jc w:val="lef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表4.</w:t>
      </w:r>
      <w:r>
        <w:rPr>
          <w:rFonts w:ascii="仿宋" w:hAnsi="仿宋" w:eastAsia="仿宋" w:cs="仿宋"/>
          <w:b/>
          <w:bCs/>
          <w:color w:val="auto"/>
          <w:sz w:val="24"/>
          <w:szCs w:val="24"/>
          <w:lang w:eastAsia="zh-CN"/>
        </w:rPr>
        <w:t>4</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6</w:t>
      </w:r>
      <w:r>
        <w:rPr>
          <w:rFonts w:hint="eastAsia" w:ascii="仿宋" w:hAnsi="仿宋" w:eastAsia="仿宋" w:cs="仿宋"/>
          <w:b/>
          <w:bCs/>
          <w:color w:val="auto"/>
          <w:sz w:val="24"/>
          <w:szCs w:val="24"/>
          <w:lang w:eastAsia="zh-CN"/>
        </w:rPr>
        <w:t>回访检查安排与节点要求</w:t>
      </w:r>
    </w:p>
    <w:tbl>
      <w:tblPr>
        <w:tblStyle w:val="8"/>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5"/>
        <w:gridCol w:w="4752"/>
      </w:tblGrid>
      <w:tr w14:paraId="5CC5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44D51A9D">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检查安排</w:t>
            </w:r>
          </w:p>
        </w:tc>
        <w:tc>
          <w:tcPr>
            <w:tcW w:w="4752" w:type="dxa"/>
            <w:noWrap w:val="0"/>
            <w:vAlign w:val="top"/>
          </w:tcPr>
          <w:p w14:paraId="428898C1">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节点要求</w:t>
            </w:r>
          </w:p>
        </w:tc>
      </w:tr>
      <w:tr w14:paraId="4B4E0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3B25849E">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第一次回访</w:t>
            </w:r>
          </w:p>
        </w:tc>
        <w:tc>
          <w:tcPr>
            <w:tcW w:w="4752" w:type="dxa"/>
            <w:noWrap w:val="0"/>
            <w:vAlign w:val="top"/>
          </w:tcPr>
          <w:p w14:paraId="15DEB421">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竣工备案后3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6个月内</w:t>
            </w:r>
          </w:p>
        </w:tc>
      </w:tr>
      <w:tr w14:paraId="0716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3EB0CB21">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第二次回访</w:t>
            </w:r>
          </w:p>
        </w:tc>
        <w:tc>
          <w:tcPr>
            <w:tcW w:w="4752" w:type="dxa"/>
            <w:noWrap w:val="0"/>
            <w:vAlign w:val="top"/>
          </w:tcPr>
          <w:p w14:paraId="01A1F5CA">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竣工后第一个雨季（6-9月）</w:t>
            </w:r>
          </w:p>
        </w:tc>
      </w:tr>
      <w:tr w14:paraId="68511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147DBBC7">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第三次回访</w:t>
            </w:r>
          </w:p>
        </w:tc>
        <w:tc>
          <w:tcPr>
            <w:tcW w:w="4752" w:type="dxa"/>
            <w:noWrap w:val="0"/>
            <w:vAlign w:val="top"/>
          </w:tcPr>
          <w:p w14:paraId="6CC9D260">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竣工后第二个雨季（6-9月）</w:t>
            </w:r>
          </w:p>
        </w:tc>
      </w:tr>
      <w:tr w14:paraId="02C4D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2E8D2B97">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第四次回访</w:t>
            </w:r>
          </w:p>
        </w:tc>
        <w:tc>
          <w:tcPr>
            <w:tcW w:w="4752" w:type="dxa"/>
            <w:noWrap w:val="0"/>
            <w:vAlign w:val="top"/>
          </w:tcPr>
          <w:p w14:paraId="259EB07E">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保险责任期开始前3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6个月（综合回访）</w:t>
            </w:r>
          </w:p>
        </w:tc>
      </w:tr>
      <w:tr w14:paraId="004C0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535" w:type="dxa"/>
            <w:noWrap w:val="0"/>
            <w:vAlign w:val="top"/>
          </w:tcPr>
          <w:p w14:paraId="39097E41">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理赔交底会及遗留问题复查</w:t>
            </w:r>
          </w:p>
        </w:tc>
        <w:tc>
          <w:tcPr>
            <w:tcW w:w="4752" w:type="dxa"/>
            <w:noWrap w:val="0"/>
            <w:vAlign w:val="top"/>
          </w:tcPr>
          <w:p w14:paraId="695757DD">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保险责任期开始前1个月</w:t>
            </w:r>
          </w:p>
        </w:tc>
      </w:tr>
    </w:tbl>
    <w:p w14:paraId="1D54F8C0">
      <w:pPr>
        <w:pStyle w:val="10"/>
        <w:spacing w:line="560" w:lineRule="exact"/>
        <w:ind w:firstLine="420"/>
        <w:rPr>
          <w:rFonts w:hint="eastAsia" w:ascii="仿宋" w:hAnsi="仿宋" w:eastAsia="仿宋" w:cs="仿宋"/>
        </w:rPr>
      </w:pPr>
      <w:r>
        <w:rPr>
          <w:rFonts w:hint="eastAsia" w:ascii="仿宋" w:hAnsi="仿宋" w:eastAsia="仿宋" w:cs="仿宋"/>
          <w:lang w:val="en-US"/>
        </w:rPr>
        <w:t>4.4.7</w:t>
      </w:r>
      <w:r>
        <w:rPr>
          <w:rFonts w:hint="eastAsia" w:ascii="仿宋" w:hAnsi="仿宋" w:eastAsia="仿宋" w:cs="仿宋"/>
          <w:lang w:eastAsia="zh-CN"/>
        </w:rPr>
        <w:t>项目负责人</w:t>
      </w:r>
      <w:r>
        <w:rPr>
          <w:rFonts w:hint="eastAsia" w:ascii="仿宋" w:hAnsi="仿宋" w:eastAsia="仿宋" w:cs="仿宋"/>
        </w:rPr>
        <w:t>应全程组织开展回访检查工作，根据项目回访阶段风险特点，配备风险管理工程师、风险管理专家及检测人员。</w:t>
      </w:r>
    </w:p>
    <w:p w14:paraId="6BBF6BA6">
      <w:pPr>
        <w:pStyle w:val="10"/>
        <w:spacing w:line="560" w:lineRule="exact"/>
        <w:ind w:firstLine="420"/>
        <w:rPr>
          <w:rFonts w:hint="eastAsia" w:ascii="仿宋" w:hAnsi="仿宋" w:eastAsia="仿宋" w:cs="仿宋"/>
        </w:rPr>
      </w:pPr>
      <w:r>
        <w:rPr>
          <w:rFonts w:hint="eastAsia" w:ascii="仿宋" w:hAnsi="仿宋" w:eastAsia="仿宋" w:cs="仿宋"/>
          <w:lang w:val="en-US"/>
        </w:rPr>
        <w:t>4.4.8</w:t>
      </w:r>
      <w:r>
        <w:rPr>
          <w:rFonts w:hint="eastAsia" w:ascii="仿宋" w:hAnsi="仿宋" w:eastAsia="仿宋" w:cs="仿宋"/>
        </w:rPr>
        <w:t>回访检查宜通过多种检查方式组合对已发生的以及潜在的质量缺陷判断，检查方式应符合表4.4.9规定。</w:t>
      </w:r>
    </w:p>
    <w:p w14:paraId="266286EE">
      <w:pPr>
        <w:widowControl w:val="0"/>
        <w:kinsoku/>
        <w:adjustRightInd/>
        <w:snapToGrid/>
        <w:spacing w:line="560" w:lineRule="exact"/>
        <w:jc w:val="lef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表4.</w:t>
      </w:r>
      <w:r>
        <w:rPr>
          <w:rFonts w:ascii="仿宋" w:hAnsi="仿宋" w:eastAsia="仿宋" w:cs="仿宋"/>
          <w:b/>
          <w:bCs/>
          <w:color w:val="auto"/>
          <w:sz w:val="24"/>
          <w:szCs w:val="24"/>
          <w:lang w:eastAsia="zh-CN"/>
        </w:rPr>
        <w:t>4</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9</w:t>
      </w:r>
      <w:r>
        <w:rPr>
          <w:rFonts w:hint="eastAsia" w:ascii="仿宋" w:hAnsi="仿宋" w:eastAsia="仿宋" w:cs="仿宋"/>
          <w:b/>
          <w:bCs/>
          <w:color w:val="auto"/>
          <w:sz w:val="24"/>
          <w:szCs w:val="24"/>
          <w:lang w:eastAsia="zh-CN"/>
        </w:rPr>
        <w:t>风险管理机构在回访阶段的检查方式</w:t>
      </w:r>
    </w:p>
    <w:tbl>
      <w:tblPr>
        <w:tblStyle w:val="8"/>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6593"/>
      </w:tblGrid>
      <w:tr w14:paraId="6E40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4" w:type="dxa"/>
            <w:noWrap w:val="0"/>
            <w:vAlign w:val="top"/>
          </w:tcPr>
          <w:p w14:paraId="70EDB8A6">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检查方式</w:t>
            </w:r>
          </w:p>
        </w:tc>
        <w:tc>
          <w:tcPr>
            <w:tcW w:w="6593" w:type="dxa"/>
            <w:noWrap w:val="0"/>
            <w:vAlign w:val="top"/>
          </w:tcPr>
          <w:p w14:paraId="1A558049">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检查要求</w:t>
            </w:r>
          </w:p>
        </w:tc>
      </w:tr>
      <w:tr w14:paraId="7D98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694" w:type="dxa"/>
            <w:noWrap w:val="0"/>
            <w:vAlign w:val="center"/>
          </w:tcPr>
          <w:p w14:paraId="4E9A5B24">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目测</w:t>
            </w:r>
          </w:p>
        </w:tc>
        <w:tc>
          <w:tcPr>
            <w:tcW w:w="6593" w:type="dxa"/>
            <w:noWrap w:val="0"/>
            <w:vAlign w:val="top"/>
          </w:tcPr>
          <w:p w14:paraId="61B3F9E5">
            <w:pPr>
              <w:pStyle w:val="11"/>
              <w:widowControl w:val="0"/>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对高发理赔问题目测检查，包括：屋面防水失效情况，外墙开裂、空鼓情况，地下室渗漏情况，公共区域墙面开裂情况等。</w:t>
            </w:r>
          </w:p>
        </w:tc>
      </w:tr>
      <w:tr w14:paraId="4476F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694" w:type="dxa"/>
            <w:noWrap w:val="0"/>
            <w:vAlign w:val="center"/>
          </w:tcPr>
          <w:p w14:paraId="0D82C458">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搜集物业报修记录及分析</w:t>
            </w:r>
          </w:p>
        </w:tc>
        <w:tc>
          <w:tcPr>
            <w:tcW w:w="6593" w:type="dxa"/>
            <w:noWrap w:val="0"/>
            <w:vAlign w:val="top"/>
          </w:tcPr>
          <w:p w14:paraId="23CF7085">
            <w:pPr>
              <w:pStyle w:val="11"/>
              <w:widowControl w:val="0"/>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通过对物业保修记录的统计分析，了解现存质量缺陷及维修情况，预测后续高发的风险点。</w:t>
            </w:r>
          </w:p>
        </w:tc>
      </w:tr>
      <w:tr w14:paraId="59F80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94" w:type="dxa"/>
            <w:noWrap w:val="0"/>
            <w:vAlign w:val="center"/>
          </w:tcPr>
          <w:p w14:paraId="77169EFF">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外墙红外扫描</w:t>
            </w:r>
          </w:p>
        </w:tc>
        <w:tc>
          <w:tcPr>
            <w:tcW w:w="6593" w:type="dxa"/>
            <w:noWrap w:val="0"/>
            <w:vAlign w:val="top"/>
          </w:tcPr>
          <w:p w14:paraId="61221B59">
            <w:pPr>
              <w:pStyle w:val="11"/>
              <w:widowControl w:val="0"/>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通过红外热像仪判断肉眼难以识别的空鼓。</w:t>
            </w:r>
          </w:p>
        </w:tc>
      </w:tr>
      <w:tr w14:paraId="027D5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694" w:type="dxa"/>
            <w:noWrap w:val="0"/>
            <w:vAlign w:val="center"/>
          </w:tcPr>
          <w:p w14:paraId="4ACCD891">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无人机拍摄</w:t>
            </w:r>
          </w:p>
        </w:tc>
        <w:tc>
          <w:tcPr>
            <w:tcW w:w="6593" w:type="dxa"/>
            <w:noWrap w:val="0"/>
            <w:vAlign w:val="top"/>
          </w:tcPr>
          <w:p w14:paraId="4B43B40F">
            <w:pPr>
              <w:pStyle w:val="11"/>
              <w:widowControl w:val="0"/>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用于不上人屋面或坡屋面，可发现屋面防水系统老化情况，也可用于高层住宅的中高区外墙的空鼓、开裂检查。</w:t>
            </w:r>
          </w:p>
        </w:tc>
      </w:tr>
    </w:tbl>
    <w:p w14:paraId="6F70AAF5">
      <w:pPr>
        <w:pStyle w:val="10"/>
        <w:spacing w:line="560" w:lineRule="exact"/>
        <w:ind w:firstLine="420"/>
        <w:rPr>
          <w:rFonts w:hint="eastAsia" w:ascii="仿宋" w:hAnsi="仿宋" w:eastAsia="仿宋" w:cs="仿宋"/>
        </w:rPr>
      </w:pPr>
      <w:r>
        <w:rPr>
          <w:rFonts w:hint="eastAsia" w:ascii="仿宋" w:hAnsi="仿宋" w:eastAsia="仿宋" w:cs="仿宋"/>
          <w:lang w:val="en-US"/>
        </w:rPr>
        <w:t>4.4.10</w:t>
      </w:r>
      <w:r>
        <w:rPr>
          <w:rFonts w:hint="eastAsia" w:ascii="仿宋" w:hAnsi="仿宋" w:eastAsia="仿宋" w:cs="仿宋"/>
        </w:rPr>
        <w:t>风险管理机构回访检查以公共区域检查为主，若有入户条件，风险管理机构应开展入户检查。回访检查部位及覆盖率应符合以下规定：</w:t>
      </w:r>
    </w:p>
    <w:p w14:paraId="20C2C8C3">
      <w:pPr>
        <w:pStyle w:val="10"/>
        <w:numPr>
          <w:ilvl w:val="0"/>
          <w:numId w:val="11"/>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所有楼栋的屋面，屋面的电梯机房、水箱间等；</w:t>
      </w:r>
    </w:p>
    <w:p w14:paraId="32B7ABB8">
      <w:pPr>
        <w:pStyle w:val="10"/>
        <w:numPr>
          <w:ilvl w:val="0"/>
          <w:numId w:val="11"/>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所有楼栋的顶层、底层、中间层，每栋楼检查的楼层数不少于总楼层数的20%；</w:t>
      </w:r>
    </w:p>
    <w:p w14:paraId="38F14FA0">
      <w:pPr>
        <w:pStyle w:val="10"/>
        <w:numPr>
          <w:ilvl w:val="0"/>
          <w:numId w:val="11"/>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所有楼栋的外立面。</w:t>
      </w:r>
    </w:p>
    <w:p w14:paraId="35A72DA9">
      <w:pPr>
        <w:pStyle w:val="10"/>
        <w:numPr>
          <w:ilvl w:val="0"/>
          <w:numId w:val="11"/>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所有非机动车库与地下车库；</w:t>
      </w:r>
    </w:p>
    <w:p w14:paraId="3F0A3523">
      <w:pPr>
        <w:pStyle w:val="10"/>
        <w:numPr>
          <w:ilvl w:val="0"/>
          <w:numId w:val="11"/>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机房、泵房等设备用房；</w:t>
      </w:r>
    </w:p>
    <w:p w14:paraId="7527EEC0">
      <w:pPr>
        <w:pStyle w:val="10"/>
        <w:spacing w:line="560" w:lineRule="exact"/>
        <w:ind w:firstLine="420"/>
        <w:rPr>
          <w:rFonts w:hint="eastAsia" w:ascii="仿宋" w:hAnsi="仿宋" w:eastAsia="仿宋" w:cs="仿宋"/>
        </w:rPr>
      </w:pPr>
      <w:r>
        <w:rPr>
          <w:rFonts w:hint="eastAsia" w:ascii="仿宋" w:hAnsi="仿宋" w:eastAsia="仿宋" w:cs="仿宋"/>
          <w:lang w:val="en-US"/>
        </w:rPr>
        <w:t>4.4.11</w:t>
      </w:r>
      <w:r>
        <w:rPr>
          <w:rFonts w:hint="eastAsia" w:ascii="仿宋" w:hAnsi="仿宋" w:eastAsia="仿宋" w:cs="仿宋"/>
        </w:rPr>
        <w:t>风险管理机构应依据</w:t>
      </w:r>
      <w:r>
        <w:rPr>
          <w:rFonts w:hint="eastAsia" w:ascii="仿宋" w:hAnsi="仿宋" w:eastAsia="仿宋" w:cs="仿宋"/>
          <w:lang w:eastAsia="zh-CN"/>
        </w:rPr>
        <w:t>住宅质量保险</w:t>
      </w:r>
      <w:r>
        <w:rPr>
          <w:rFonts w:hint="eastAsia" w:ascii="仿宋" w:hAnsi="仿宋" w:eastAsia="仿宋" w:cs="仿宋"/>
        </w:rPr>
        <w:t>保险理赔数据，针对屋面渗漏、外墙渗漏、外墙脱落、地下室渗漏、墙面空鼓开裂、室外管线的沉降开裂重点检查，检查重点应符合附录F规定。</w:t>
      </w:r>
    </w:p>
    <w:p w14:paraId="7F15A2FF">
      <w:pPr>
        <w:pStyle w:val="10"/>
        <w:spacing w:line="560" w:lineRule="exact"/>
        <w:ind w:firstLine="420"/>
        <w:rPr>
          <w:rFonts w:hint="eastAsia" w:ascii="仿宋" w:hAnsi="仿宋" w:eastAsia="仿宋" w:cs="仿宋"/>
        </w:rPr>
      </w:pPr>
      <w:r>
        <w:rPr>
          <w:rFonts w:hint="eastAsia" w:ascii="仿宋" w:hAnsi="仿宋" w:eastAsia="仿宋" w:cs="仿宋"/>
          <w:lang w:val="en-US"/>
        </w:rPr>
        <w:t>4.4.12</w:t>
      </w:r>
      <w:r>
        <w:rPr>
          <w:rFonts w:hint="eastAsia" w:ascii="仿宋" w:hAnsi="仿宋" w:eastAsia="仿宋" w:cs="仿宋"/>
        </w:rPr>
        <w:t>回访阶段，风险管理机构编制的成果文件应包括：回访检查报告、回访风险评估报告及应急回访事件调查报告。各报告内容应符合表4.6.7的规定。</w:t>
      </w:r>
    </w:p>
    <w:p w14:paraId="507F6B84">
      <w:pPr>
        <w:widowControl w:val="0"/>
        <w:kinsoku/>
        <w:adjustRightInd/>
        <w:snapToGrid/>
        <w:spacing w:line="560" w:lineRule="exact"/>
        <w:jc w:val="left"/>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表4.</w:t>
      </w:r>
      <w:r>
        <w:rPr>
          <w:rFonts w:ascii="仿宋" w:hAnsi="仿宋" w:eastAsia="仿宋" w:cs="仿宋"/>
          <w:b/>
          <w:bCs/>
          <w:color w:val="auto"/>
          <w:sz w:val="24"/>
          <w:szCs w:val="24"/>
          <w:lang w:eastAsia="zh-CN"/>
        </w:rPr>
        <w:t>4</w:t>
      </w:r>
      <w:r>
        <w:rPr>
          <w:rFonts w:hint="eastAsia" w:ascii="仿宋" w:hAnsi="仿宋" w:eastAsia="仿宋" w:cs="仿宋"/>
          <w:b/>
          <w:bCs/>
          <w:color w:val="auto"/>
          <w:sz w:val="24"/>
          <w:szCs w:val="24"/>
          <w:lang w:eastAsia="zh-CN"/>
        </w:rPr>
        <w:t>.</w:t>
      </w:r>
      <w:r>
        <w:rPr>
          <w:rFonts w:ascii="仿宋" w:hAnsi="仿宋" w:eastAsia="仿宋" w:cs="仿宋"/>
          <w:b/>
          <w:bCs/>
          <w:color w:val="auto"/>
          <w:sz w:val="24"/>
          <w:szCs w:val="24"/>
          <w:lang w:eastAsia="zh-CN"/>
        </w:rPr>
        <w:t>13</w:t>
      </w:r>
      <w:r>
        <w:rPr>
          <w:rFonts w:hint="eastAsia" w:ascii="仿宋" w:hAnsi="仿宋" w:eastAsia="仿宋" w:cs="仿宋"/>
          <w:b/>
          <w:bCs/>
          <w:color w:val="auto"/>
          <w:sz w:val="24"/>
          <w:szCs w:val="24"/>
          <w:lang w:eastAsia="zh-CN"/>
        </w:rPr>
        <w:t>回访阶段成果文件内容要求</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11"/>
        <w:gridCol w:w="5177"/>
      </w:tblGrid>
      <w:tr w14:paraId="53E84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111" w:type="dxa"/>
            <w:noWrap w:val="0"/>
            <w:vAlign w:val="center"/>
          </w:tcPr>
          <w:p w14:paraId="06375AC7">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报告名称</w:t>
            </w:r>
          </w:p>
        </w:tc>
        <w:tc>
          <w:tcPr>
            <w:tcW w:w="5177" w:type="dxa"/>
            <w:noWrap w:val="0"/>
            <w:vAlign w:val="center"/>
          </w:tcPr>
          <w:p w14:paraId="7391D14F">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报告内容</w:t>
            </w:r>
          </w:p>
        </w:tc>
      </w:tr>
      <w:tr w14:paraId="49DE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3111" w:type="dxa"/>
            <w:noWrap w:val="0"/>
            <w:vAlign w:val="center"/>
          </w:tcPr>
          <w:p w14:paraId="39876FDF">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回访检查报告</w:t>
            </w:r>
          </w:p>
        </w:tc>
        <w:tc>
          <w:tcPr>
            <w:tcW w:w="5177" w:type="dxa"/>
            <w:noWrap w:val="0"/>
            <w:vAlign w:val="center"/>
          </w:tcPr>
          <w:p w14:paraId="01197994">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）项目基本信息</w:t>
            </w:r>
          </w:p>
          <w:p w14:paraId="153748DF">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）检查日期</w:t>
            </w:r>
          </w:p>
          <w:p w14:paraId="67330F84">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）遗留质量缺陷销项情况</w:t>
            </w:r>
          </w:p>
          <w:p w14:paraId="5E33D04A">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）本次检查发现质量缺陷情况</w:t>
            </w:r>
          </w:p>
          <w:p w14:paraId="19AA4156">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）总结</w:t>
            </w:r>
          </w:p>
        </w:tc>
      </w:tr>
      <w:tr w14:paraId="3FC1C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3" w:hRule="atLeast"/>
        </w:trPr>
        <w:tc>
          <w:tcPr>
            <w:tcW w:w="3111" w:type="dxa"/>
            <w:noWrap w:val="0"/>
            <w:vAlign w:val="center"/>
          </w:tcPr>
          <w:p w14:paraId="4D1CAC6B">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回访风险评估报告</w:t>
            </w:r>
          </w:p>
        </w:tc>
        <w:tc>
          <w:tcPr>
            <w:tcW w:w="5177" w:type="dxa"/>
            <w:noWrap w:val="0"/>
            <w:vAlign w:val="center"/>
          </w:tcPr>
          <w:p w14:paraId="362B2717">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）项目基本信息</w:t>
            </w:r>
          </w:p>
          <w:p w14:paraId="29DC653A">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）回访检查总结</w:t>
            </w:r>
          </w:p>
          <w:p w14:paraId="2E0FEA08">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）质量缺陷销项情况汇总</w:t>
            </w:r>
          </w:p>
          <w:p w14:paraId="25711E7A">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）结论（风险评级）</w:t>
            </w:r>
          </w:p>
          <w:p w14:paraId="10BDFC5F">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）实体影像资料</w:t>
            </w:r>
          </w:p>
          <w:p w14:paraId="069B549D">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）附：签字版未整改问题确认清单</w:t>
            </w:r>
          </w:p>
        </w:tc>
      </w:tr>
      <w:tr w14:paraId="59E2F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3111" w:type="dxa"/>
            <w:noWrap w:val="0"/>
            <w:vAlign w:val="center"/>
          </w:tcPr>
          <w:p w14:paraId="44C8DCA2">
            <w:pPr>
              <w:pStyle w:val="11"/>
              <w:widowControl w:val="0"/>
              <w:kinsoku/>
              <w:adjustRightInd/>
              <w:snapToGrid/>
              <w:spacing w:line="560" w:lineRule="exact"/>
              <w:jc w:val="left"/>
              <w:textAlignment w:val="auto"/>
              <w:rPr>
                <w:rFonts w:ascii="仿宋" w:hAnsi="仿宋" w:eastAsia="仿宋" w:cs="仿宋"/>
                <w:color w:val="auto"/>
                <w:sz w:val="24"/>
                <w:szCs w:val="24"/>
              </w:rPr>
            </w:pPr>
            <w:r>
              <w:rPr>
                <w:rFonts w:hint="eastAsia" w:ascii="仿宋" w:hAnsi="仿宋" w:eastAsia="仿宋" w:cs="仿宋"/>
                <w:color w:val="auto"/>
                <w:sz w:val="24"/>
                <w:szCs w:val="24"/>
              </w:rPr>
              <w:t>应急回访事件调查报告</w:t>
            </w:r>
          </w:p>
        </w:tc>
        <w:tc>
          <w:tcPr>
            <w:tcW w:w="5177" w:type="dxa"/>
            <w:noWrap w:val="0"/>
            <w:vAlign w:val="center"/>
          </w:tcPr>
          <w:p w14:paraId="6E46C55F">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）事件背景</w:t>
            </w:r>
          </w:p>
          <w:p w14:paraId="698B062E">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）调查经过</w:t>
            </w:r>
          </w:p>
          <w:p w14:paraId="0C4DE140">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）调查结果</w:t>
            </w:r>
          </w:p>
          <w:p w14:paraId="29730CA0">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）原因分析</w:t>
            </w:r>
          </w:p>
          <w:p w14:paraId="5D20B885">
            <w:pPr>
              <w:pStyle w:val="11"/>
              <w:widowControl w:val="0"/>
              <w:tabs>
                <w:tab w:val="left" w:pos="528"/>
              </w:tabs>
              <w:kinsoku/>
              <w:adjustRightInd/>
              <w:snapToGrid/>
              <w:spacing w:line="560" w:lineRule="exact"/>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）已采取措施及后续整改建议</w:t>
            </w:r>
          </w:p>
        </w:tc>
      </w:tr>
    </w:tbl>
    <w:p w14:paraId="47F6A32D">
      <w:pPr>
        <w:pStyle w:val="10"/>
        <w:spacing w:line="560" w:lineRule="exact"/>
        <w:ind w:firstLine="420"/>
        <w:rPr>
          <w:rFonts w:hint="eastAsia" w:ascii="仿宋" w:hAnsi="仿宋" w:eastAsia="仿宋" w:cs="仿宋"/>
        </w:rPr>
      </w:pPr>
      <w:r>
        <w:rPr>
          <w:rFonts w:hint="eastAsia" w:ascii="仿宋" w:hAnsi="仿宋" w:eastAsia="仿宋" w:cs="仿宋"/>
          <w:lang w:val="en-US"/>
        </w:rPr>
        <w:t>4.4.14</w:t>
      </w:r>
      <w:r>
        <w:rPr>
          <w:rFonts w:hint="eastAsia" w:ascii="仿宋" w:hAnsi="仿宋" w:eastAsia="仿宋" w:cs="仿宋"/>
        </w:rPr>
        <w:t>在完工阶段后，</w:t>
      </w:r>
      <w:r>
        <w:rPr>
          <w:rFonts w:hint="eastAsia" w:ascii="仿宋" w:hAnsi="仿宋" w:eastAsia="仿宋" w:cs="仿宋"/>
          <w:lang w:eastAsia="zh-CN"/>
        </w:rPr>
        <w:t>项目负责人</w:t>
      </w:r>
      <w:r>
        <w:rPr>
          <w:rFonts w:hint="eastAsia" w:ascii="仿宋" w:hAnsi="仿宋" w:eastAsia="仿宋" w:cs="仿宋"/>
        </w:rPr>
        <w:t>应密切跟踪小区交房情况，并按照节点要求，组织第一次回访检查暨回访检查交底会，建设单位、施工单位及物业相关人员应陪同回访检查。</w:t>
      </w:r>
    </w:p>
    <w:p w14:paraId="4B3984E8">
      <w:pPr>
        <w:widowControl w:val="0"/>
        <w:kinsoku/>
        <w:adjustRightInd/>
        <w:snapToGrid/>
        <w:spacing w:line="560" w:lineRule="exact"/>
        <w:ind w:firstLine="420" w:firstLineChars="200"/>
        <w:jc w:val="left"/>
        <w:textAlignment w:val="auto"/>
        <w:rPr>
          <w:rFonts w:hint="eastAsia" w:ascii="仿宋" w:hAnsi="仿宋" w:eastAsia="仿宋" w:cs="仿宋"/>
          <w:color w:val="000000"/>
          <w:sz w:val="21"/>
          <w:szCs w:val="21"/>
          <w:lang w:val="zh-CN" w:eastAsia="zh-CN" w:bidi="zh-CN"/>
        </w:rPr>
      </w:pPr>
      <w:r>
        <w:rPr>
          <w:rFonts w:hint="eastAsia" w:ascii="仿宋" w:hAnsi="仿宋" w:eastAsia="仿宋" w:cs="仿宋"/>
          <w:color w:val="000000"/>
          <w:sz w:val="21"/>
          <w:szCs w:val="21"/>
          <w:lang w:val="zh-CN" w:eastAsia="zh-CN" w:bidi="zh-CN"/>
        </w:rPr>
        <w:t>第一次回访检查完成后5个工作日内，风险管理机构将回访检查报告、发现的质量缺陷、回访交底会议纪要（含签到表、会议照片）、风险管理回访检查计划提交保险公司。</w:t>
      </w:r>
    </w:p>
    <w:p w14:paraId="13867399">
      <w:pPr>
        <w:pStyle w:val="10"/>
        <w:spacing w:line="560" w:lineRule="exact"/>
        <w:ind w:firstLine="420"/>
        <w:rPr>
          <w:rFonts w:hint="eastAsia" w:ascii="仿宋" w:hAnsi="仿宋" w:eastAsia="仿宋" w:cs="仿宋"/>
        </w:rPr>
      </w:pPr>
      <w:r>
        <w:rPr>
          <w:rFonts w:hint="eastAsia" w:ascii="仿宋" w:hAnsi="仿宋" w:eastAsia="仿宋" w:cs="仿宋"/>
          <w:lang w:val="en-US"/>
        </w:rPr>
        <w:t>4.4.15</w:t>
      </w:r>
      <w:r>
        <w:rPr>
          <w:rFonts w:hint="eastAsia" w:ascii="仿宋" w:hAnsi="仿宋" w:eastAsia="仿宋" w:cs="仿宋"/>
        </w:rPr>
        <w:t>回访检查交底会由风险管理机构</w:t>
      </w:r>
      <w:r>
        <w:rPr>
          <w:rFonts w:hint="eastAsia" w:ascii="仿宋" w:hAnsi="仿宋" w:eastAsia="仿宋" w:cs="仿宋"/>
          <w:lang w:eastAsia="zh-CN"/>
        </w:rPr>
        <w:t>项目负责人</w:t>
      </w:r>
      <w:r>
        <w:rPr>
          <w:rFonts w:hint="eastAsia" w:ascii="仿宋" w:hAnsi="仿宋" w:eastAsia="仿宋" w:cs="仿宋"/>
        </w:rPr>
        <w:t>组织，</w:t>
      </w:r>
      <w:r>
        <w:rPr>
          <w:rFonts w:hint="eastAsia" w:ascii="仿宋" w:hAnsi="仿宋" w:eastAsia="仿宋" w:cs="仿宋"/>
          <w:lang w:eastAsia="zh-CN"/>
        </w:rPr>
        <w:t>住宅质量保险</w:t>
      </w:r>
      <w:r>
        <w:rPr>
          <w:rFonts w:hint="eastAsia" w:ascii="仿宋" w:hAnsi="仿宋" w:eastAsia="仿宋" w:cs="仿宋"/>
        </w:rPr>
        <w:t>项目经理协调，参会人员包括风险管理机构回访检查小组、</w:t>
      </w:r>
      <w:r>
        <w:rPr>
          <w:rFonts w:hint="eastAsia" w:ascii="仿宋" w:hAnsi="仿宋" w:eastAsia="仿宋" w:cs="仿宋"/>
          <w:lang w:eastAsia="zh-CN"/>
        </w:rPr>
        <w:t>住宅质量保险</w:t>
      </w:r>
      <w:r>
        <w:rPr>
          <w:rFonts w:hint="eastAsia" w:ascii="仿宋" w:hAnsi="仿宋" w:eastAsia="仿宋" w:cs="仿宋"/>
        </w:rPr>
        <w:t>项目经理、建设单位项目负责人、施工单位项目负责人、物业负责人。回访交底会应包括以下内容：</w:t>
      </w:r>
    </w:p>
    <w:p w14:paraId="5F5252A3">
      <w:pPr>
        <w:pStyle w:val="10"/>
        <w:numPr>
          <w:ilvl w:val="0"/>
          <w:numId w:val="12"/>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lang w:eastAsia="zh-CN"/>
        </w:rPr>
        <w:t>项目负责人</w:t>
      </w:r>
      <w:r>
        <w:rPr>
          <w:rFonts w:hint="eastAsia" w:ascii="仿宋" w:hAnsi="仿宋" w:eastAsia="仿宋" w:cs="仿宋"/>
        </w:rPr>
        <w:t>应对风险管理机构回访检查计划进行交底；</w:t>
      </w:r>
    </w:p>
    <w:p w14:paraId="368DCB69">
      <w:pPr>
        <w:pStyle w:val="10"/>
        <w:numPr>
          <w:ilvl w:val="0"/>
          <w:numId w:val="12"/>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lang w:eastAsia="zh-CN"/>
        </w:rPr>
        <w:t>住宅质量保险</w:t>
      </w:r>
      <w:r>
        <w:rPr>
          <w:rFonts w:hint="eastAsia" w:ascii="仿宋" w:hAnsi="仿宋" w:eastAsia="仿宋" w:cs="仿宋"/>
        </w:rPr>
        <w:t>项目经理应对相关保险条款及责任划分进行说明；</w:t>
      </w:r>
    </w:p>
    <w:p w14:paraId="68352376">
      <w:pPr>
        <w:pStyle w:val="10"/>
        <w:numPr>
          <w:ilvl w:val="0"/>
          <w:numId w:val="12"/>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建设单位应明确各方在后续工作中的对接人；</w:t>
      </w:r>
    </w:p>
    <w:p w14:paraId="7066A85E">
      <w:pPr>
        <w:pStyle w:val="10"/>
        <w:numPr>
          <w:ilvl w:val="0"/>
          <w:numId w:val="12"/>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宜通过物业公告栏张贴、业主信箱投递、发送函件、建设单位转交（与</w:t>
      </w:r>
      <w:r>
        <w:rPr>
          <w:rFonts w:hint="eastAsia" w:ascii="仿宋" w:hAnsi="仿宋" w:eastAsia="仿宋" w:cs="仿宋"/>
          <w:lang w:eastAsia="zh-CN"/>
        </w:rPr>
        <w:t>住宅质量保险</w:t>
      </w:r>
      <w:r>
        <w:rPr>
          <w:rFonts w:hint="eastAsia" w:ascii="仿宋" w:hAnsi="仿宋" w:eastAsia="仿宋" w:cs="仿宋"/>
        </w:rPr>
        <w:t>告知书一起）等形式向小业主发放《</w:t>
      </w:r>
      <w:r>
        <w:rPr>
          <w:rFonts w:hint="eastAsia" w:ascii="仿宋" w:hAnsi="仿宋" w:eastAsia="仿宋" w:cs="仿宋"/>
          <w:lang w:eastAsia="zh-CN"/>
        </w:rPr>
        <w:t>住宅</w:t>
      </w:r>
      <w:r>
        <w:rPr>
          <w:rFonts w:hint="eastAsia" w:ascii="仿宋" w:hAnsi="仿宋" w:eastAsia="仿宋" w:cs="仿宋"/>
        </w:rPr>
        <w:t>工程质量潜在缺陷保险回访期风险管理工作告知书》。</w:t>
      </w:r>
    </w:p>
    <w:p w14:paraId="7E750428">
      <w:pPr>
        <w:pStyle w:val="10"/>
        <w:spacing w:line="560" w:lineRule="exact"/>
        <w:ind w:firstLine="420"/>
        <w:rPr>
          <w:rFonts w:hint="eastAsia" w:ascii="仿宋" w:hAnsi="仿宋" w:eastAsia="仿宋" w:cs="仿宋"/>
        </w:rPr>
      </w:pPr>
      <w:r>
        <w:rPr>
          <w:rFonts w:hint="eastAsia" w:ascii="仿宋" w:hAnsi="仿宋" w:eastAsia="仿宋" w:cs="仿宋"/>
          <w:lang w:val="en-US"/>
        </w:rPr>
        <w:t>4.4.16</w:t>
      </w:r>
      <w:r>
        <w:rPr>
          <w:rFonts w:hint="eastAsia" w:ascii="仿宋" w:hAnsi="仿宋" w:eastAsia="仿宋" w:cs="仿宋"/>
        </w:rPr>
        <w:t>回访检查应符合以下要求：</w:t>
      </w:r>
    </w:p>
    <w:p w14:paraId="3D17B520">
      <w:pPr>
        <w:pStyle w:val="10"/>
        <w:numPr>
          <w:ilvl w:val="0"/>
          <w:numId w:val="13"/>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编制单次风险管理回访检查计划；</w:t>
      </w:r>
    </w:p>
    <w:p w14:paraId="414194AC">
      <w:pPr>
        <w:pStyle w:val="10"/>
        <w:numPr>
          <w:ilvl w:val="0"/>
          <w:numId w:val="13"/>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通知相关单位回访日期及回访检查参与人员；</w:t>
      </w:r>
    </w:p>
    <w:p w14:paraId="178FF510">
      <w:pPr>
        <w:pStyle w:val="10"/>
        <w:numPr>
          <w:ilvl w:val="0"/>
          <w:numId w:val="13"/>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组织现场回访检查，检查方式手段主要是通过目测、检测、小业主质量问卷调查（包括小业主现场访谈）、维修记录统计进行检查。</w:t>
      </w:r>
    </w:p>
    <w:p w14:paraId="24100368">
      <w:pPr>
        <w:pStyle w:val="10"/>
        <w:numPr>
          <w:ilvl w:val="0"/>
          <w:numId w:val="13"/>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回访检查完成后5个工作日内，风险管理机构应将发现的质量缺陷整理完成，10个工作日内完成风险管理回访检查报告编制，将风险管理回访检查报告提交建设单位和主承保公司。</w:t>
      </w:r>
    </w:p>
    <w:p w14:paraId="408D16AF">
      <w:pPr>
        <w:pStyle w:val="10"/>
        <w:numPr>
          <w:ilvl w:val="0"/>
          <w:numId w:val="13"/>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建设单位应组织、协调施工单位对质量缺陷进行整改，在相关质量问题闭合后，风险管理机构应完成销项。</w:t>
      </w:r>
    </w:p>
    <w:p w14:paraId="5873414D">
      <w:pPr>
        <w:pStyle w:val="10"/>
        <w:spacing w:line="560" w:lineRule="exact"/>
        <w:ind w:firstLine="420"/>
        <w:rPr>
          <w:rFonts w:hint="eastAsia" w:ascii="仿宋" w:hAnsi="仿宋" w:eastAsia="仿宋" w:cs="仿宋"/>
        </w:rPr>
      </w:pPr>
      <w:r>
        <w:rPr>
          <w:rFonts w:hint="eastAsia" w:ascii="仿宋" w:hAnsi="仿宋" w:eastAsia="仿宋" w:cs="仿宋"/>
          <w:lang w:val="en-US"/>
        </w:rPr>
        <w:t>4.4.17</w:t>
      </w:r>
      <w:r>
        <w:rPr>
          <w:rFonts w:hint="eastAsia" w:ascii="仿宋" w:hAnsi="仿宋" w:eastAsia="仿宋" w:cs="仿宋"/>
        </w:rPr>
        <w:t>风险管理机构应参加由</w:t>
      </w:r>
      <w:r>
        <w:rPr>
          <w:rFonts w:hint="eastAsia" w:ascii="仿宋" w:hAnsi="仿宋" w:eastAsia="仿宋" w:cs="仿宋"/>
          <w:lang w:eastAsia="zh-CN"/>
        </w:rPr>
        <w:t>住宅质量保险</w:t>
      </w:r>
      <w:r>
        <w:rPr>
          <w:rFonts w:hint="eastAsia" w:ascii="仿宋" w:hAnsi="仿宋" w:eastAsia="仿宋" w:cs="仿宋"/>
        </w:rPr>
        <w:t>项目经理人组织的理赔交底会及质量缺陷复查。理赔交底会应包括以下内容：</w:t>
      </w:r>
    </w:p>
    <w:p w14:paraId="5A822032">
      <w:pPr>
        <w:pStyle w:val="10"/>
        <w:numPr>
          <w:ilvl w:val="0"/>
          <w:numId w:val="14"/>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风险管理机构应对遗留质量缺陷现场复查确认；</w:t>
      </w:r>
    </w:p>
    <w:p w14:paraId="776ED267">
      <w:pPr>
        <w:pStyle w:val="10"/>
        <w:numPr>
          <w:ilvl w:val="0"/>
          <w:numId w:val="14"/>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建设单位应对未整改事项签字确认；</w:t>
      </w:r>
    </w:p>
    <w:p w14:paraId="7EDCD664">
      <w:pPr>
        <w:pStyle w:val="10"/>
        <w:numPr>
          <w:ilvl w:val="0"/>
          <w:numId w:val="14"/>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lang w:eastAsia="zh-CN"/>
        </w:rPr>
        <w:t>住宅质量保险</w:t>
      </w:r>
      <w:r>
        <w:rPr>
          <w:rFonts w:hint="eastAsia" w:ascii="仿宋" w:hAnsi="仿宋" w:eastAsia="仿宋" w:cs="仿宋"/>
        </w:rPr>
        <w:t>项目经理人应对建设单位、施工单位、物业公司进入理赔期后的注意事项和需要配合的工作进行交底，并形成会议纪要。</w:t>
      </w:r>
    </w:p>
    <w:p w14:paraId="68667790">
      <w:pPr>
        <w:pStyle w:val="10"/>
        <w:spacing w:line="560" w:lineRule="exact"/>
        <w:ind w:firstLine="420"/>
        <w:rPr>
          <w:rFonts w:hint="eastAsia" w:ascii="仿宋" w:hAnsi="仿宋" w:eastAsia="仿宋" w:cs="仿宋"/>
        </w:rPr>
      </w:pPr>
      <w:r>
        <w:rPr>
          <w:rFonts w:hint="eastAsia" w:ascii="仿宋" w:hAnsi="仿宋" w:eastAsia="仿宋" w:cs="仿宋"/>
          <w:lang w:val="en-US"/>
        </w:rPr>
        <w:t>4.4.18</w:t>
      </w:r>
      <w:r>
        <w:rPr>
          <w:rFonts w:hint="eastAsia" w:ascii="仿宋" w:hAnsi="仿宋" w:eastAsia="仿宋" w:cs="仿宋"/>
        </w:rPr>
        <w:t>如小区发生重大质量舆情、突发质量事件、极端灾害天气或系统性质量风险，</w:t>
      </w:r>
      <w:r>
        <w:rPr>
          <w:rFonts w:hint="eastAsia" w:ascii="仿宋" w:hAnsi="仿宋" w:eastAsia="仿宋" w:cs="仿宋"/>
          <w:lang w:eastAsia="zh-CN"/>
        </w:rPr>
        <w:t>住宅质量保险</w:t>
      </w:r>
      <w:r>
        <w:rPr>
          <w:rFonts w:hint="eastAsia" w:ascii="仿宋" w:hAnsi="仿宋" w:eastAsia="仿宋" w:cs="仿宋"/>
        </w:rPr>
        <w:t>项目经理需持续关注舆情信息，并发起应急回访，风险管理机构及时安排应急回访，在应急回访结束后5个工作日内，风险管理机构应完成应急回访事件调查报告编制，提交主承保公司。</w:t>
      </w:r>
    </w:p>
    <w:p w14:paraId="29B89368">
      <w:pPr>
        <w:pStyle w:val="10"/>
        <w:spacing w:line="560" w:lineRule="exact"/>
        <w:ind w:firstLine="420"/>
        <w:rPr>
          <w:rFonts w:hint="eastAsia" w:ascii="仿宋" w:hAnsi="仿宋" w:eastAsia="仿宋" w:cs="仿宋"/>
        </w:rPr>
      </w:pPr>
      <w:r>
        <w:rPr>
          <w:rFonts w:hint="eastAsia" w:ascii="仿宋" w:hAnsi="仿宋" w:eastAsia="仿宋" w:cs="仿宋"/>
          <w:lang w:val="en-US"/>
        </w:rPr>
        <w:t>4.4.19</w:t>
      </w:r>
      <w:r>
        <w:rPr>
          <w:rFonts w:hint="eastAsia" w:ascii="仿宋" w:hAnsi="仿宋" w:eastAsia="仿宋" w:cs="仿宋"/>
        </w:rPr>
        <w:t>风险管理机构应依据各次回访检查情况、竣工遗留质量缺陷及回访期间质量缺陷的复查销项情况，在理赔交底会及遗留问题复查完成后的5个工作日内，风险管理机构应完成回访风险评估报告的编制，提交至主承保公司。</w:t>
      </w:r>
    </w:p>
    <w:p w14:paraId="451F8E31">
      <w:pPr>
        <w:pStyle w:val="4"/>
        <w:spacing w:line="560" w:lineRule="exact"/>
        <w:rPr>
          <w:rFonts w:hint="eastAsia" w:ascii="仿宋" w:hAnsi="仿宋" w:eastAsia="仿宋" w:cs="仿宋"/>
          <w:color w:val="auto"/>
          <w:lang w:eastAsia="zh-CN"/>
        </w:rPr>
      </w:pPr>
      <w:r>
        <w:rPr>
          <w:rFonts w:hint="eastAsia" w:ascii="仿宋" w:hAnsi="仿宋" w:eastAsia="仿宋" w:cs="仿宋"/>
          <w:color w:val="auto"/>
          <w:lang w:eastAsia="zh-CN"/>
        </w:rPr>
        <w:t>4.5理赔阶段</w:t>
      </w:r>
    </w:p>
    <w:p w14:paraId="591754B7">
      <w:pPr>
        <w:pStyle w:val="10"/>
        <w:spacing w:line="560" w:lineRule="exact"/>
        <w:ind w:firstLine="420"/>
        <w:rPr>
          <w:rFonts w:hint="eastAsia" w:ascii="仿宋" w:hAnsi="仿宋" w:eastAsia="仿宋" w:cs="仿宋"/>
          <w:lang w:val="en-US"/>
        </w:rPr>
      </w:pPr>
      <w:r>
        <w:rPr>
          <w:rFonts w:hint="eastAsia" w:ascii="仿宋" w:hAnsi="仿宋" w:eastAsia="仿宋" w:cs="仿宋"/>
        </w:rPr>
        <w:t>为提高理赔服务效率，若初步勘察难以判断保险责任或理赔金额预计将</w:t>
      </w:r>
      <w:r>
        <w:rPr>
          <w:rFonts w:hint="eastAsia" w:ascii="仿宋" w:hAnsi="仿宋" w:eastAsia="仿宋" w:cs="仿宋"/>
          <w:lang w:eastAsia="zh-CN"/>
        </w:rPr>
        <w:t>超过5万元</w:t>
      </w:r>
      <w:r>
        <w:rPr>
          <w:rFonts w:hint="eastAsia" w:ascii="仿宋" w:hAnsi="仿宋" w:eastAsia="仿宋" w:cs="仿宋"/>
        </w:rPr>
        <w:t>的，风险管理机构应配合保险公司完成问题溯源、保险责任认定、维修方案制定</w:t>
      </w:r>
      <w:r>
        <w:rPr>
          <w:rFonts w:hint="eastAsia" w:ascii="仿宋" w:hAnsi="仿宋" w:eastAsia="仿宋" w:cs="仿宋"/>
          <w:lang w:val="en-US" w:eastAsia="zh-CN"/>
        </w:rPr>
        <w:t>等事项</w:t>
      </w:r>
      <w:r>
        <w:rPr>
          <w:rFonts w:hint="eastAsia" w:ascii="仿宋" w:hAnsi="仿宋" w:eastAsia="仿宋" w:cs="仿宋"/>
        </w:rPr>
        <w:t>。</w:t>
      </w:r>
    </w:p>
    <w:p w14:paraId="3091FCB4">
      <w:pPr>
        <w:pStyle w:val="4"/>
        <w:spacing w:line="560" w:lineRule="exact"/>
        <w:rPr>
          <w:rFonts w:hint="eastAsia" w:ascii="仿宋" w:hAnsi="仿宋" w:eastAsia="仿宋" w:cs="仿宋"/>
          <w:color w:val="auto"/>
          <w:lang w:eastAsia="zh-CN"/>
        </w:rPr>
      </w:pPr>
      <w:r>
        <w:rPr>
          <w:rFonts w:hint="eastAsia" w:ascii="仿宋" w:hAnsi="仿宋" w:eastAsia="仿宋" w:cs="仿宋"/>
          <w:color w:val="auto"/>
          <w:lang w:eastAsia="zh-CN"/>
        </w:rPr>
        <w:t>4.6工作交付成果</w:t>
      </w:r>
    </w:p>
    <w:p w14:paraId="547A6FA0">
      <w:pPr>
        <w:pStyle w:val="5"/>
        <w:widowControl w:val="0"/>
        <w:kinsoku/>
        <w:spacing w:line="560" w:lineRule="exact"/>
        <w:ind w:firstLine="480"/>
        <w:rPr>
          <w:rFonts w:hint="eastAsia"/>
          <w:color w:val="000000"/>
          <w:sz w:val="21"/>
          <w:szCs w:val="21"/>
          <w:lang w:val="zh-CN" w:eastAsia="zh-CN" w:bidi="zh-CN"/>
        </w:rPr>
      </w:pPr>
      <w:r>
        <w:rPr>
          <w:rFonts w:hint="eastAsia"/>
          <w:color w:val="000000"/>
          <w:sz w:val="21"/>
          <w:szCs w:val="21"/>
          <w:lang w:val="zh-CN" w:eastAsia="zh-CN" w:bidi="zh-CN"/>
        </w:rPr>
        <w:t>风险管理机构向保险公司交付的主要工作成果详见表4.6.1《各阶段报告名称及内容》和表4.6.2《各风险管理项目必须包含的内容》。</w:t>
      </w:r>
    </w:p>
    <w:p w14:paraId="120B66DB">
      <w:pPr>
        <w:pStyle w:val="5"/>
        <w:widowControl w:val="0"/>
        <w:kinsoku/>
        <w:spacing w:line="560" w:lineRule="exact"/>
        <w:ind w:firstLine="0" w:firstLineChars="0"/>
        <w:jc w:val="left"/>
        <w:rPr>
          <w:b/>
          <w:bCs/>
          <w:color w:val="auto"/>
          <w:sz w:val="24"/>
          <w:szCs w:val="24"/>
          <w:lang w:eastAsia="zh-CN"/>
        </w:rPr>
      </w:pPr>
      <w:r>
        <w:rPr>
          <w:b/>
          <w:bCs/>
          <w:color w:val="auto"/>
          <w:sz w:val="24"/>
          <w:szCs w:val="24"/>
          <w:lang w:eastAsia="zh-CN"/>
        </w:rPr>
        <w:t>表</w:t>
      </w:r>
      <w:r>
        <w:rPr>
          <w:rFonts w:hint="eastAsia"/>
          <w:b/>
          <w:bCs/>
          <w:color w:val="auto"/>
          <w:sz w:val="24"/>
          <w:szCs w:val="24"/>
          <w:lang w:eastAsia="zh-CN"/>
        </w:rPr>
        <w:t>4.</w:t>
      </w:r>
      <w:r>
        <w:rPr>
          <w:b/>
          <w:bCs/>
          <w:color w:val="auto"/>
          <w:sz w:val="24"/>
          <w:szCs w:val="24"/>
          <w:lang w:eastAsia="zh-CN"/>
        </w:rPr>
        <w:t>6</w:t>
      </w:r>
      <w:r>
        <w:rPr>
          <w:rFonts w:hint="eastAsia"/>
          <w:b/>
          <w:bCs/>
          <w:color w:val="auto"/>
          <w:sz w:val="24"/>
          <w:szCs w:val="24"/>
          <w:lang w:eastAsia="zh-CN"/>
        </w:rPr>
        <w:t>.1</w:t>
      </w:r>
      <w:r>
        <w:rPr>
          <w:b/>
          <w:bCs/>
          <w:color w:val="auto"/>
          <w:sz w:val="24"/>
          <w:szCs w:val="24"/>
          <w:lang w:eastAsia="zh-CN"/>
        </w:rPr>
        <w:t>各阶段报告名称及内容</w:t>
      </w:r>
    </w:p>
    <w:tbl>
      <w:tblPr>
        <w:tblStyle w:val="13"/>
        <w:tblW w:w="92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2"/>
        <w:gridCol w:w="2500"/>
        <w:gridCol w:w="5500"/>
      </w:tblGrid>
      <w:tr w14:paraId="4ECA1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42" w:type="dxa"/>
            <w:tcBorders>
              <w:top w:val="single" w:color="000000" w:sz="10" w:space="0"/>
              <w:left w:val="single" w:color="000000" w:sz="10" w:space="0"/>
              <w:bottom w:val="single" w:color="000000" w:sz="10" w:space="0"/>
            </w:tcBorders>
            <w:noWrap w:val="0"/>
            <w:vAlign w:val="center"/>
          </w:tcPr>
          <w:p w14:paraId="57BDA1AA">
            <w:pPr>
              <w:pStyle w:val="12"/>
              <w:widowControl w:val="0"/>
              <w:kinsoku/>
              <w:spacing w:line="560" w:lineRule="exact"/>
              <w:jc w:val="center"/>
              <w:rPr>
                <w:b/>
                <w:bCs/>
                <w:color w:val="auto"/>
                <w:sz w:val="24"/>
                <w:szCs w:val="24"/>
                <w:lang w:eastAsia="zh-CN"/>
              </w:rPr>
            </w:pPr>
            <w:r>
              <w:rPr>
                <w:rFonts w:hint="eastAsia"/>
                <w:b/>
                <w:bCs/>
                <w:color w:val="auto"/>
                <w:sz w:val="24"/>
                <w:szCs w:val="24"/>
                <w:lang w:eastAsia="zh-CN"/>
              </w:rPr>
              <w:t>阶段</w:t>
            </w:r>
          </w:p>
        </w:tc>
        <w:tc>
          <w:tcPr>
            <w:tcW w:w="2500" w:type="dxa"/>
            <w:tcBorders>
              <w:top w:val="single" w:color="000000" w:sz="10" w:space="0"/>
              <w:bottom w:val="single" w:color="000000" w:sz="10" w:space="0"/>
            </w:tcBorders>
            <w:noWrap w:val="0"/>
            <w:vAlign w:val="center"/>
          </w:tcPr>
          <w:p w14:paraId="00752191">
            <w:pPr>
              <w:pStyle w:val="12"/>
              <w:widowControl w:val="0"/>
              <w:kinsoku/>
              <w:spacing w:line="560" w:lineRule="exact"/>
              <w:jc w:val="center"/>
              <w:rPr>
                <w:b/>
                <w:bCs/>
                <w:color w:val="auto"/>
                <w:sz w:val="24"/>
                <w:szCs w:val="24"/>
                <w:lang w:eastAsia="zh-CN"/>
              </w:rPr>
            </w:pPr>
            <w:r>
              <w:rPr>
                <w:rFonts w:hint="eastAsia"/>
                <w:b/>
                <w:bCs/>
                <w:color w:val="auto"/>
                <w:sz w:val="24"/>
                <w:szCs w:val="24"/>
                <w:lang w:eastAsia="zh-CN"/>
              </w:rPr>
              <w:t>报告名称及编号</w:t>
            </w:r>
          </w:p>
        </w:tc>
        <w:tc>
          <w:tcPr>
            <w:tcW w:w="5500" w:type="dxa"/>
            <w:tcBorders>
              <w:top w:val="single" w:color="000000" w:sz="10" w:space="0"/>
              <w:bottom w:val="single" w:color="000000" w:sz="10" w:space="0"/>
              <w:right w:val="single" w:color="000000" w:sz="10" w:space="0"/>
            </w:tcBorders>
            <w:noWrap w:val="0"/>
            <w:vAlign w:val="center"/>
          </w:tcPr>
          <w:p w14:paraId="6D575EA4">
            <w:pPr>
              <w:pStyle w:val="12"/>
              <w:widowControl w:val="0"/>
              <w:kinsoku/>
              <w:spacing w:line="560" w:lineRule="exact"/>
              <w:jc w:val="center"/>
              <w:rPr>
                <w:b/>
                <w:bCs/>
                <w:color w:val="auto"/>
                <w:sz w:val="24"/>
                <w:szCs w:val="24"/>
                <w:lang w:eastAsia="zh-CN"/>
              </w:rPr>
            </w:pPr>
            <w:r>
              <w:rPr>
                <w:rFonts w:hint="eastAsia"/>
                <w:b/>
                <w:bCs/>
                <w:color w:val="auto"/>
                <w:sz w:val="24"/>
                <w:szCs w:val="24"/>
                <w:lang w:eastAsia="zh-CN"/>
              </w:rPr>
              <w:t>报告内容</w:t>
            </w:r>
          </w:p>
        </w:tc>
      </w:tr>
      <w:tr w14:paraId="38DAA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42" w:type="dxa"/>
            <w:tcBorders>
              <w:top w:val="single" w:color="000000" w:sz="10" w:space="0"/>
              <w:left w:val="single" w:color="000000" w:sz="10" w:space="0"/>
            </w:tcBorders>
            <w:noWrap w:val="0"/>
            <w:vAlign w:val="center"/>
          </w:tcPr>
          <w:p w14:paraId="5FBBEA13">
            <w:pPr>
              <w:pStyle w:val="12"/>
              <w:widowControl w:val="0"/>
              <w:kinsoku/>
              <w:spacing w:line="560" w:lineRule="exact"/>
              <w:jc w:val="center"/>
              <w:rPr>
                <w:color w:val="auto"/>
                <w:sz w:val="24"/>
                <w:szCs w:val="24"/>
                <w:lang w:eastAsia="zh-CN"/>
              </w:rPr>
            </w:pPr>
            <w:r>
              <w:rPr>
                <w:rFonts w:hint="eastAsia"/>
                <w:color w:val="auto"/>
                <w:sz w:val="24"/>
                <w:szCs w:val="24"/>
                <w:lang w:eastAsia="zh-CN"/>
              </w:rPr>
              <w:t>准备</w:t>
            </w:r>
            <w:r>
              <w:rPr>
                <w:color w:val="auto"/>
                <w:sz w:val="24"/>
                <w:szCs w:val="24"/>
                <w:lang w:eastAsia="zh-CN"/>
              </w:rPr>
              <w:t>阶段</w:t>
            </w:r>
          </w:p>
        </w:tc>
        <w:tc>
          <w:tcPr>
            <w:tcW w:w="2500" w:type="dxa"/>
            <w:tcBorders>
              <w:top w:val="single" w:color="000000" w:sz="10" w:space="0"/>
            </w:tcBorders>
            <w:noWrap w:val="0"/>
            <w:vAlign w:val="center"/>
          </w:tcPr>
          <w:p w14:paraId="7BEE583A">
            <w:pPr>
              <w:pStyle w:val="12"/>
              <w:widowControl w:val="0"/>
              <w:kinsoku/>
              <w:spacing w:line="560" w:lineRule="exact"/>
              <w:jc w:val="center"/>
              <w:rPr>
                <w:color w:val="auto"/>
                <w:sz w:val="24"/>
                <w:szCs w:val="24"/>
                <w:lang w:eastAsia="zh-CN"/>
              </w:rPr>
            </w:pPr>
            <w:r>
              <w:rPr>
                <w:color w:val="auto"/>
                <w:sz w:val="24"/>
                <w:szCs w:val="24"/>
                <w:lang w:eastAsia="zh-CN"/>
              </w:rPr>
              <w:t>风险初步识别评估报告</w:t>
            </w:r>
          </w:p>
        </w:tc>
        <w:tc>
          <w:tcPr>
            <w:tcW w:w="5500" w:type="dxa"/>
            <w:tcBorders>
              <w:top w:val="single" w:color="000000" w:sz="10" w:space="0"/>
              <w:right w:val="single" w:color="000000" w:sz="10" w:space="0"/>
            </w:tcBorders>
            <w:noWrap w:val="0"/>
            <w:vAlign w:val="center"/>
          </w:tcPr>
          <w:p w14:paraId="2064FE1E">
            <w:pPr>
              <w:pStyle w:val="12"/>
              <w:widowControl w:val="0"/>
              <w:kinsoku/>
              <w:spacing w:line="560" w:lineRule="exact"/>
              <w:ind w:left="125"/>
              <w:rPr>
                <w:color w:val="auto"/>
                <w:sz w:val="24"/>
                <w:szCs w:val="24"/>
                <w:lang w:eastAsia="zh-CN"/>
              </w:rPr>
            </w:pPr>
            <w:r>
              <w:rPr>
                <w:color w:val="auto"/>
                <w:sz w:val="24"/>
                <w:szCs w:val="24"/>
                <w:lang w:eastAsia="zh-CN"/>
              </w:rPr>
              <w:t>1、勘察质量风险点分析、评价；</w:t>
            </w:r>
          </w:p>
          <w:p w14:paraId="7182156E">
            <w:pPr>
              <w:pStyle w:val="12"/>
              <w:widowControl w:val="0"/>
              <w:kinsoku/>
              <w:spacing w:line="560" w:lineRule="exact"/>
              <w:ind w:left="112"/>
              <w:rPr>
                <w:color w:val="auto"/>
                <w:sz w:val="24"/>
                <w:szCs w:val="24"/>
                <w:lang w:eastAsia="zh-CN"/>
              </w:rPr>
            </w:pPr>
            <w:r>
              <w:rPr>
                <w:color w:val="auto"/>
                <w:sz w:val="24"/>
                <w:szCs w:val="24"/>
                <w:lang w:eastAsia="zh-CN"/>
              </w:rPr>
              <w:t>2、设计文件风险点分析、评价；</w:t>
            </w:r>
          </w:p>
          <w:p w14:paraId="39104E58">
            <w:pPr>
              <w:pStyle w:val="12"/>
              <w:widowControl w:val="0"/>
              <w:kinsoku/>
              <w:spacing w:line="560" w:lineRule="exact"/>
              <w:ind w:left="113"/>
              <w:rPr>
                <w:color w:val="auto"/>
                <w:sz w:val="24"/>
                <w:szCs w:val="24"/>
                <w:lang w:eastAsia="zh-CN"/>
              </w:rPr>
            </w:pPr>
            <w:r>
              <w:rPr>
                <w:color w:val="auto"/>
                <w:sz w:val="24"/>
                <w:szCs w:val="24"/>
                <w:lang w:eastAsia="zh-CN"/>
              </w:rPr>
              <w:t>3、施工方案风险点分析、评价；</w:t>
            </w:r>
          </w:p>
          <w:p w14:paraId="58333248">
            <w:pPr>
              <w:pStyle w:val="12"/>
              <w:widowControl w:val="0"/>
              <w:kinsoku/>
              <w:spacing w:line="560" w:lineRule="exact"/>
              <w:ind w:left="108"/>
              <w:rPr>
                <w:color w:val="auto"/>
                <w:sz w:val="24"/>
                <w:szCs w:val="24"/>
                <w:lang w:eastAsia="zh-CN"/>
              </w:rPr>
            </w:pPr>
            <w:r>
              <w:rPr>
                <w:color w:val="auto"/>
                <w:sz w:val="24"/>
                <w:szCs w:val="24"/>
                <w:lang w:eastAsia="zh-CN"/>
              </w:rPr>
              <w:t>4、主要参建方资质及尽职调查评价；</w:t>
            </w:r>
          </w:p>
          <w:p w14:paraId="5E77522F">
            <w:pPr>
              <w:pStyle w:val="12"/>
              <w:widowControl w:val="0"/>
              <w:kinsoku/>
              <w:spacing w:line="560" w:lineRule="exact"/>
              <w:ind w:left="113"/>
              <w:rPr>
                <w:color w:val="auto"/>
                <w:sz w:val="24"/>
                <w:szCs w:val="24"/>
                <w:lang w:eastAsia="zh-CN"/>
              </w:rPr>
            </w:pPr>
            <w:r>
              <w:rPr>
                <w:color w:val="auto"/>
                <w:sz w:val="24"/>
                <w:szCs w:val="24"/>
                <w:lang w:eastAsia="zh-CN"/>
              </w:rPr>
              <w:t>5、项目实施主要风险预评估。</w:t>
            </w:r>
          </w:p>
        </w:tc>
      </w:tr>
      <w:tr w14:paraId="12921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42" w:type="dxa"/>
            <w:vMerge w:val="restart"/>
            <w:tcBorders>
              <w:left w:val="single" w:color="000000" w:sz="10" w:space="0"/>
            </w:tcBorders>
            <w:noWrap w:val="0"/>
            <w:vAlign w:val="center"/>
          </w:tcPr>
          <w:p w14:paraId="34CB6D3B">
            <w:pPr>
              <w:pStyle w:val="12"/>
              <w:widowControl w:val="0"/>
              <w:kinsoku/>
              <w:spacing w:line="560" w:lineRule="exact"/>
              <w:jc w:val="center"/>
              <w:rPr>
                <w:color w:val="auto"/>
                <w:sz w:val="24"/>
                <w:szCs w:val="24"/>
              </w:rPr>
            </w:pPr>
            <w:r>
              <w:rPr>
                <w:color w:val="auto"/>
                <w:sz w:val="24"/>
                <w:szCs w:val="24"/>
              </w:rPr>
              <w:t>施工阶段</w:t>
            </w:r>
          </w:p>
          <w:p w14:paraId="38F5613E">
            <w:pPr>
              <w:pStyle w:val="12"/>
              <w:widowControl w:val="0"/>
              <w:spacing w:line="560" w:lineRule="exact"/>
              <w:jc w:val="center"/>
              <w:rPr>
                <w:color w:val="auto"/>
                <w:sz w:val="24"/>
                <w:szCs w:val="24"/>
                <w:highlight w:val="yellow"/>
                <w:lang w:eastAsia="zh-CN"/>
              </w:rPr>
            </w:pPr>
          </w:p>
        </w:tc>
        <w:tc>
          <w:tcPr>
            <w:tcW w:w="2500" w:type="dxa"/>
            <w:noWrap w:val="0"/>
            <w:vAlign w:val="center"/>
          </w:tcPr>
          <w:p w14:paraId="5682717F">
            <w:pPr>
              <w:pStyle w:val="12"/>
              <w:widowControl w:val="0"/>
              <w:kinsoku/>
              <w:spacing w:line="560" w:lineRule="exact"/>
              <w:jc w:val="center"/>
              <w:rPr>
                <w:color w:val="auto"/>
                <w:sz w:val="24"/>
                <w:szCs w:val="24"/>
              </w:rPr>
            </w:pPr>
            <w:r>
              <w:rPr>
                <w:color w:val="auto"/>
                <w:sz w:val="24"/>
                <w:szCs w:val="24"/>
              </w:rPr>
              <w:t>施工风险评估报告</w:t>
            </w:r>
          </w:p>
        </w:tc>
        <w:tc>
          <w:tcPr>
            <w:tcW w:w="5500" w:type="dxa"/>
            <w:tcBorders>
              <w:right w:val="single" w:color="000000" w:sz="10" w:space="0"/>
            </w:tcBorders>
            <w:noWrap w:val="0"/>
            <w:vAlign w:val="center"/>
          </w:tcPr>
          <w:p w14:paraId="1786BAEF">
            <w:pPr>
              <w:pStyle w:val="12"/>
              <w:widowControl w:val="0"/>
              <w:kinsoku/>
              <w:spacing w:line="560" w:lineRule="exact"/>
              <w:ind w:left="125"/>
              <w:rPr>
                <w:color w:val="auto"/>
                <w:sz w:val="24"/>
                <w:szCs w:val="24"/>
                <w:lang w:eastAsia="zh-CN"/>
              </w:rPr>
            </w:pPr>
            <w:r>
              <w:rPr>
                <w:color w:val="auto"/>
                <w:sz w:val="24"/>
                <w:szCs w:val="24"/>
                <w:lang w:eastAsia="zh-CN"/>
              </w:rPr>
              <w:t>1、检查情况的描述；</w:t>
            </w:r>
          </w:p>
          <w:p w14:paraId="2F7325F5">
            <w:pPr>
              <w:pStyle w:val="12"/>
              <w:widowControl w:val="0"/>
              <w:kinsoku/>
              <w:spacing w:line="560" w:lineRule="exact"/>
              <w:ind w:left="112"/>
              <w:rPr>
                <w:color w:val="auto"/>
                <w:sz w:val="24"/>
                <w:szCs w:val="24"/>
                <w:lang w:eastAsia="zh-CN"/>
              </w:rPr>
            </w:pPr>
            <w:r>
              <w:rPr>
                <w:color w:val="auto"/>
                <w:sz w:val="24"/>
                <w:szCs w:val="24"/>
                <w:lang w:eastAsia="zh-CN"/>
              </w:rPr>
              <w:t>2、检查存在问题及潜在风险分析提示；</w:t>
            </w:r>
          </w:p>
          <w:p w14:paraId="1D2A966F">
            <w:pPr>
              <w:pStyle w:val="12"/>
              <w:widowControl w:val="0"/>
              <w:kinsoku/>
              <w:spacing w:line="560" w:lineRule="exact"/>
              <w:ind w:left="113"/>
              <w:rPr>
                <w:color w:val="auto"/>
                <w:sz w:val="24"/>
                <w:szCs w:val="24"/>
                <w:lang w:eastAsia="zh-CN"/>
              </w:rPr>
            </w:pPr>
            <w:r>
              <w:rPr>
                <w:color w:val="auto"/>
                <w:sz w:val="24"/>
                <w:szCs w:val="24"/>
                <w:lang w:eastAsia="zh-CN"/>
              </w:rPr>
              <w:t>3、问题的处理建议等；</w:t>
            </w:r>
          </w:p>
          <w:p w14:paraId="3D738107">
            <w:pPr>
              <w:pStyle w:val="12"/>
              <w:widowControl w:val="0"/>
              <w:kinsoku/>
              <w:spacing w:line="560" w:lineRule="exact"/>
              <w:ind w:left="108"/>
              <w:rPr>
                <w:color w:val="auto"/>
                <w:sz w:val="24"/>
                <w:szCs w:val="24"/>
                <w:lang w:eastAsia="zh-CN"/>
              </w:rPr>
            </w:pPr>
            <w:r>
              <w:rPr>
                <w:color w:val="auto"/>
                <w:sz w:val="24"/>
                <w:szCs w:val="24"/>
                <w:lang w:eastAsia="zh-CN"/>
              </w:rPr>
              <w:t>4、对应保险责任范围的分项评估；</w:t>
            </w:r>
          </w:p>
          <w:p w14:paraId="50C348D8">
            <w:pPr>
              <w:pStyle w:val="12"/>
              <w:widowControl w:val="0"/>
              <w:kinsoku/>
              <w:spacing w:line="560" w:lineRule="exact"/>
              <w:ind w:left="113"/>
              <w:rPr>
                <w:color w:val="auto"/>
                <w:sz w:val="24"/>
                <w:szCs w:val="24"/>
              </w:rPr>
            </w:pPr>
            <w:r>
              <w:rPr>
                <w:color w:val="auto"/>
                <w:sz w:val="24"/>
                <w:szCs w:val="24"/>
              </w:rPr>
              <w:t>5、问题的跟踪情况。</w:t>
            </w:r>
          </w:p>
        </w:tc>
      </w:tr>
      <w:tr w14:paraId="7F2D32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42" w:type="dxa"/>
            <w:vMerge w:val="continue"/>
            <w:tcBorders>
              <w:left w:val="single" w:color="000000" w:sz="10" w:space="0"/>
            </w:tcBorders>
            <w:noWrap w:val="0"/>
            <w:vAlign w:val="center"/>
          </w:tcPr>
          <w:p w14:paraId="55CFD8A4">
            <w:pPr>
              <w:pStyle w:val="12"/>
              <w:widowControl w:val="0"/>
              <w:spacing w:line="560" w:lineRule="exact"/>
              <w:jc w:val="center"/>
              <w:rPr>
                <w:color w:val="auto"/>
                <w:sz w:val="24"/>
                <w:szCs w:val="24"/>
                <w:highlight w:val="yellow"/>
              </w:rPr>
            </w:pPr>
          </w:p>
        </w:tc>
        <w:tc>
          <w:tcPr>
            <w:tcW w:w="2500" w:type="dxa"/>
            <w:tcBorders>
              <w:bottom w:val="single" w:color="000000" w:sz="10" w:space="0"/>
            </w:tcBorders>
            <w:noWrap w:val="0"/>
            <w:vAlign w:val="center"/>
          </w:tcPr>
          <w:p w14:paraId="0E5ABCD8">
            <w:pPr>
              <w:pStyle w:val="12"/>
              <w:widowControl w:val="0"/>
              <w:kinsoku/>
              <w:spacing w:line="560" w:lineRule="exact"/>
              <w:jc w:val="center"/>
              <w:rPr>
                <w:color w:val="auto"/>
                <w:sz w:val="24"/>
                <w:szCs w:val="24"/>
              </w:rPr>
            </w:pPr>
            <w:r>
              <w:rPr>
                <w:color w:val="auto"/>
                <w:sz w:val="24"/>
                <w:szCs w:val="24"/>
              </w:rPr>
              <w:t>竣工风险评估报告</w:t>
            </w:r>
          </w:p>
        </w:tc>
        <w:tc>
          <w:tcPr>
            <w:tcW w:w="5500" w:type="dxa"/>
            <w:tcBorders>
              <w:bottom w:val="single" w:color="000000" w:sz="10" w:space="0"/>
              <w:right w:val="single" w:color="000000" w:sz="10" w:space="0"/>
            </w:tcBorders>
            <w:noWrap w:val="0"/>
            <w:vAlign w:val="center"/>
          </w:tcPr>
          <w:p w14:paraId="31940A1E">
            <w:pPr>
              <w:pStyle w:val="12"/>
              <w:widowControl w:val="0"/>
              <w:kinsoku/>
              <w:spacing w:line="560" w:lineRule="exact"/>
              <w:ind w:left="125"/>
              <w:rPr>
                <w:color w:val="auto"/>
                <w:sz w:val="24"/>
                <w:szCs w:val="24"/>
                <w:lang w:eastAsia="zh-CN"/>
              </w:rPr>
            </w:pPr>
            <w:r>
              <w:rPr>
                <w:color w:val="auto"/>
                <w:sz w:val="24"/>
                <w:szCs w:val="24"/>
                <w:lang w:eastAsia="zh-CN"/>
              </w:rPr>
              <w:t>1、检查情况汇总；</w:t>
            </w:r>
          </w:p>
          <w:p w14:paraId="7625176F">
            <w:pPr>
              <w:pStyle w:val="12"/>
              <w:widowControl w:val="0"/>
              <w:kinsoku/>
              <w:spacing w:line="560" w:lineRule="exact"/>
              <w:ind w:left="112"/>
              <w:rPr>
                <w:color w:val="auto"/>
                <w:sz w:val="24"/>
                <w:szCs w:val="24"/>
                <w:lang w:eastAsia="zh-CN"/>
              </w:rPr>
            </w:pPr>
            <w:r>
              <w:rPr>
                <w:color w:val="auto"/>
                <w:sz w:val="24"/>
                <w:szCs w:val="24"/>
                <w:lang w:eastAsia="zh-CN"/>
              </w:rPr>
              <w:t>2、整改及销项问题汇总；</w:t>
            </w:r>
          </w:p>
          <w:p w14:paraId="61D61078">
            <w:pPr>
              <w:pStyle w:val="12"/>
              <w:widowControl w:val="0"/>
              <w:kinsoku/>
              <w:spacing w:line="560" w:lineRule="exact"/>
              <w:ind w:left="113"/>
              <w:rPr>
                <w:color w:val="auto"/>
                <w:sz w:val="24"/>
                <w:szCs w:val="24"/>
                <w:lang w:eastAsia="zh-CN"/>
              </w:rPr>
            </w:pPr>
            <w:r>
              <w:rPr>
                <w:color w:val="auto"/>
                <w:sz w:val="24"/>
                <w:szCs w:val="24"/>
                <w:lang w:eastAsia="zh-CN"/>
              </w:rPr>
              <w:t>3、未销项问题汇总；</w:t>
            </w:r>
          </w:p>
          <w:p w14:paraId="44BC4FCB">
            <w:pPr>
              <w:pStyle w:val="12"/>
              <w:widowControl w:val="0"/>
              <w:kinsoku/>
              <w:spacing w:line="560" w:lineRule="exact"/>
              <w:ind w:left="108"/>
              <w:rPr>
                <w:color w:val="auto"/>
                <w:sz w:val="24"/>
                <w:szCs w:val="24"/>
                <w:lang w:eastAsia="zh-CN"/>
              </w:rPr>
            </w:pPr>
            <w:r>
              <w:rPr>
                <w:color w:val="auto"/>
                <w:sz w:val="24"/>
                <w:szCs w:val="24"/>
                <w:lang w:eastAsia="zh-CN"/>
              </w:rPr>
              <w:t>4、检查情况的风险效果评价；</w:t>
            </w:r>
          </w:p>
          <w:p w14:paraId="0CA25295">
            <w:pPr>
              <w:pStyle w:val="12"/>
              <w:widowControl w:val="0"/>
              <w:kinsoku/>
              <w:spacing w:line="560" w:lineRule="exact"/>
              <w:ind w:left="113"/>
              <w:rPr>
                <w:color w:val="auto"/>
                <w:sz w:val="24"/>
                <w:szCs w:val="24"/>
                <w:lang w:eastAsia="zh-CN"/>
              </w:rPr>
            </w:pPr>
            <w:r>
              <w:rPr>
                <w:color w:val="auto"/>
                <w:sz w:val="24"/>
                <w:szCs w:val="24"/>
                <w:lang w:eastAsia="zh-CN"/>
              </w:rPr>
              <w:t>5、需进行无损检测的建议项；</w:t>
            </w:r>
          </w:p>
          <w:p w14:paraId="2753C49A">
            <w:pPr>
              <w:pStyle w:val="12"/>
              <w:widowControl w:val="0"/>
              <w:kinsoku/>
              <w:spacing w:line="560" w:lineRule="exact"/>
              <w:ind w:left="111"/>
              <w:rPr>
                <w:color w:val="auto"/>
                <w:sz w:val="24"/>
                <w:szCs w:val="24"/>
                <w:lang w:eastAsia="zh-CN"/>
              </w:rPr>
            </w:pPr>
            <w:r>
              <w:rPr>
                <w:color w:val="auto"/>
                <w:sz w:val="24"/>
                <w:szCs w:val="24"/>
                <w:lang w:eastAsia="zh-CN"/>
              </w:rPr>
              <w:t>6、工程质量情况的总体评价及是否满足建筑工程质量保险的要求等。</w:t>
            </w:r>
          </w:p>
        </w:tc>
      </w:tr>
      <w:tr w14:paraId="60F02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1242" w:type="dxa"/>
            <w:vMerge w:val="continue"/>
            <w:tcBorders>
              <w:left w:val="single" w:color="000000" w:sz="10" w:space="0"/>
            </w:tcBorders>
            <w:noWrap w:val="0"/>
            <w:vAlign w:val="center"/>
          </w:tcPr>
          <w:p w14:paraId="6AC13FD4">
            <w:pPr>
              <w:pStyle w:val="12"/>
              <w:widowControl w:val="0"/>
              <w:kinsoku/>
              <w:spacing w:line="560" w:lineRule="exact"/>
              <w:jc w:val="center"/>
              <w:rPr>
                <w:color w:val="auto"/>
                <w:sz w:val="24"/>
                <w:szCs w:val="24"/>
                <w:highlight w:val="yellow"/>
              </w:rPr>
            </w:pPr>
          </w:p>
        </w:tc>
        <w:tc>
          <w:tcPr>
            <w:tcW w:w="2500" w:type="dxa"/>
            <w:noWrap w:val="0"/>
            <w:vAlign w:val="center"/>
          </w:tcPr>
          <w:p w14:paraId="0D2B0086">
            <w:pPr>
              <w:pStyle w:val="12"/>
              <w:widowControl w:val="0"/>
              <w:kinsoku/>
              <w:spacing w:line="560" w:lineRule="exact"/>
              <w:jc w:val="center"/>
              <w:rPr>
                <w:color w:val="auto"/>
                <w:sz w:val="24"/>
                <w:szCs w:val="24"/>
              </w:rPr>
            </w:pPr>
            <w:r>
              <w:rPr>
                <w:color w:val="auto"/>
                <w:sz w:val="24"/>
                <w:szCs w:val="24"/>
              </w:rPr>
              <w:t>复查报告</w:t>
            </w:r>
          </w:p>
        </w:tc>
        <w:tc>
          <w:tcPr>
            <w:tcW w:w="5500" w:type="dxa"/>
            <w:tcBorders>
              <w:right w:val="single" w:color="000000" w:sz="10" w:space="0"/>
            </w:tcBorders>
            <w:noWrap w:val="0"/>
            <w:vAlign w:val="center"/>
          </w:tcPr>
          <w:p w14:paraId="21A81A04">
            <w:pPr>
              <w:pStyle w:val="12"/>
              <w:widowControl w:val="0"/>
              <w:kinsoku/>
              <w:spacing w:line="560" w:lineRule="exact"/>
              <w:ind w:left="125"/>
              <w:rPr>
                <w:color w:val="auto"/>
                <w:sz w:val="24"/>
                <w:szCs w:val="24"/>
                <w:lang w:eastAsia="zh-CN"/>
              </w:rPr>
            </w:pPr>
            <w:r>
              <w:rPr>
                <w:color w:val="auto"/>
                <w:sz w:val="24"/>
                <w:szCs w:val="24"/>
                <w:lang w:eastAsia="zh-CN"/>
              </w:rPr>
              <w:t>1、竣工遗留质量风险问题的跟踪复核；</w:t>
            </w:r>
          </w:p>
          <w:p w14:paraId="3E28A631">
            <w:pPr>
              <w:pStyle w:val="12"/>
              <w:widowControl w:val="0"/>
              <w:kinsoku/>
              <w:spacing w:line="560" w:lineRule="exact"/>
              <w:ind w:left="112"/>
              <w:rPr>
                <w:color w:val="auto"/>
                <w:sz w:val="24"/>
                <w:szCs w:val="24"/>
                <w:lang w:eastAsia="zh-CN"/>
              </w:rPr>
            </w:pPr>
            <w:r>
              <w:rPr>
                <w:color w:val="auto"/>
                <w:sz w:val="24"/>
                <w:szCs w:val="24"/>
                <w:lang w:eastAsia="zh-CN"/>
              </w:rPr>
              <w:t>2、</w:t>
            </w:r>
            <w:r>
              <w:rPr>
                <w:rFonts w:hint="eastAsia"/>
                <w:color w:val="auto"/>
                <w:sz w:val="24"/>
                <w:szCs w:val="24"/>
                <w:lang w:eastAsia="zh-CN"/>
              </w:rPr>
              <w:t>对</w:t>
            </w:r>
            <w:r>
              <w:rPr>
                <w:color w:val="auto"/>
                <w:sz w:val="24"/>
                <w:szCs w:val="24"/>
                <w:lang w:eastAsia="zh-CN"/>
              </w:rPr>
              <w:t>已出现的质量缺陷的检查及产生原因判别；</w:t>
            </w:r>
          </w:p>
          <w:p w14:paraId="733B4410">
            <w:pPr>
              <w:pStyle w:val="12"/>
              <w:widowControl w:val="0"/>
              <w:kinsoku/>
              <w:spacing w:line="560" w:lineRule="exact"/>
              <w:ind w:left="113"/>
              <w:rPr>
                <w:color w:val="auto"/>
                <w:sz w:val="24"/>
                <w:szCs w:val="24"/>
                <w:lang w:eastAsia="zh-CN"/>
              </w:rPr>
            </w:pPr>
            <w:r>
              <w:rPr>
                <w:color w:val="auto"/>
                <w:sz w:val="24"/>
                <w:szCs w:val="24"/>
                <w:lang w:eastAsia="zh-CN"/>
              </w:rPr>
              <w:t>3、对物业报修记录的检查和分析；</w:t>
            </w:r>
          </w:p>
          <w:p w14:paraId="014A71FE">
            <w:pPr>
              <w:pStyle w:val="12"/>
              <w:widowControl w:val="0"/>
              <w:kinsoku/>
              <w:spacing w:line="560" w:lineRule="exact"/>
              <w:ind w:left="108"/>
              <w:rPr>
                <w:color w:val="auto"/>
                <w:sz w:val="24"/>
                <w:szCs w:val="24"/>
                <w:lang w:eastAsia="zh-CN"/>
              </w:rPr>
            </w:pPr>
            <w:r>
              <w:rPr>
                <w:color w:val="auto"/>
                <w:sz w:val="24"/>
                <w:szCs w:val="24"/>
                <w:lang w:eastAsia="zh-CN"/>
              </w:rPr>
              <w:t>4、遗留的质量缺陷的解决情况；</w:t>
            </w:r>
          </w:p>
          <w:p w14:paraId="7C560951">
            <w:pPr>
              <w:pStyle w:val="12"/>
              <w:widowControl w:val="0"/>
              <w:kinsoku/>
              <w:spacing w:line="560" w:lineRule="exact"/>
              <w:ind w:left="113"/>
              <w:rPr>
                <w:color w:val="auto"/>
                <w:sz w:val="24"/>
                <w:szCs w:val="24"/>
                <w:lang w:eastAsia="zh-CN"/>
              </w:rPr>
            </w:pPr>
            <w:r>
              <w:rPr>
                <w:color w:val="auto"/>
                <w:sz w:val="24"/>
                <w:szCs w:val="24"/>
                <w:lang w:eastAsia="zh-CN"/>
              </w:rPr>
              <w:t>5、用户非正常使用建筑产品的提示；</w:t>
            </w:r>
          </w:p>
        </w:tc>
      </w:tr>
      <w:tr w14:paraId="02448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0" w:hRule="atLeast"/>
          <w:jc w:val="center"/>
        </w:trPr>
        <w:tc>
          <w:tcPr>
            <w:tcW w:w="1242" w:type="dxa"/>
            <w:tcBorders>
              <w:left w:val="single" w:color="000000" w:sz="10" w:space="0"/>
              <w:bottom w:val="single" w:color="000000" w:sz="10" w:space="0"/>
            </w:tcBorders>
            <w:noWrap w:val="0"/>
            <w:vAlign w:val="center"/>
          </w:tcPr>
          <w:p w14:paraId="5D76ACE0">
            <w:pPr>
              <w:pStyle w:val="12"/>
              <w:widowControl w:val="0"/>
              <w:kinsoku/>
              <w:spacing w:line="560" w:lineRule="exact"/>
              <w:jc w:val="center"/>
              <w:rPr>
                <w:color w:val="auto"/>
                <w:sz w:val="24"/>
                <w:szCs w:val="24"/>
              </w:rPr>
            </w:pPr>
            <w:r>
              <w:rPr>
                <w:rFonts w:hint="eastAsia"/>
                <w:color w:val="auto"/>
                <w:sz w:val="24"/>
                <w:szCs w:val="24"/>
              </w:rPr>
              <w:t>回访阶段</w:t>
            </w:r>
          </w:p>
        </w:tc>
        <w:tc>
          <w:tcPr>
            <w:tcW w:w="2500" w:type="dxa"/>
            <w:tcBorders>
              <w:bottom w:val="single" w:color="000000" w:sz="10" w:space="0"/>
            </w:tcBorders>
            <w:noWrap w:val="0"/>
            <w:vAlign w:val="center"/>
          </w:tcPr>
          <w:p w14:paraId="5516B89F">
            <w:pPr>
              <w:pStyle w:val="12"/>
              <w:widowControl w:val="0"/>
              <w:kinsoku/>
              <w:spacing w:line="560" w:lineRule="exact"/>
              <w:jc w:val="center"/>
              <w:rPr>
                <w:color w:val="auto"/>
                <w:sz w:val="24"/>
                <w:szCs w:val="24"/>
                <w:lang w:eastAsia="zh-CN"/>
              </w:rPr>
            </w:pPr>
            <w:r>
              <w:rPr>
                <w:rFonts w:hint="eastAsia"/>
                <w:color w:val="auto"/>
                <w:sz w:val="24"/>
                <w:szCs w:val="24"/>
                <w:lang w:eastAsia="zh-CN"/>
              </w:rPr>
              <w:t>回访检查报告</w:t>
            </w:r>
          </w:p>
          <w:p w14:paraId="4B1C70A5">
            <w:pPr>
              <w:pStyle w:val="12"/>
              <w:widowControl w:val="0"/>
              <w:kinsoku/>
              <w:spacing w:line="560" w:lineRule="exact"/>
              <w:jc w:val="center"/>
              <w:rPr>
                <w:color w:val="auto"/>
                <w:sz w:val="24"/>
                <w:szCs w:val="24"/>
                <w:lang w:eastAsia="zh-CN"/>
              </w:rPr>
            </w:pPr>
            <w:r>
              <w:rPr>
                <w:rFonts w:hint="eastAsia"/>
                <w:color w:val="auto"/>
                <w:sz w:val="24"/>
                <w:szCs w:val="24"/>
                <w:lang w:eastAsia="zh-CN"/>
              </w:rPr>
              <w:t>回访风险评估报告</w:t>
            </w:r>
          </w:p>
          <w:p w14:paraId="15669A16">
            <w:pPr>
              <w:pStyle w:val="12"/>
              <w:widowControl w:val="0"/>
              <w:kinsoku/>
              <w:spacing w:line="560" w:lineRule="exact"/>
              <w:jc w:val="center"/>
              <w:rPr>
                <w:color w:val="auto"/>
                <w:sz w:val="24"/>
                <w:szCs w:val="24"/>
                <w:lang w:eastAsia="zh-CN"/>
              </w:rPr>
            </w:pPr>
            <w:r>
              <w:rPr>
                <w:rFonts w:hint="eastAsia"/>
                <w:color w:val="auto"/>
                <w:sz w:val="24"/>
                <w:szCs w:val="24"/>
                <w:lang w:eastAsia="zh-CN"/>
              </w:rPr>
              <w:t>应急回访事件调查报告</w:t>
            </w:r>
          </w:p>
        </w:tc>
        <w:tc>
          <w:tcPr>
            <w:tcW w:w="5500" w:type="dxa"/>
            <w:tcBorders>
              <w:bottom w:val="single" w:color="000000" w:sz="10" w:space="0"/>
              <w:right w:val="single" w:color="000000" w:sz="10" w:space="0"/>
            </w:tcBorders>
            <w:noWrap w:val="0"/>
            <w:vAlign w:val="center"/>
          </w:tcPr>
          <w:p w14:paraId="48A15B9D">
            <w:pPr>
              <w:pStyle w:val="12"/>
              <w:widowControl w:val="0"/>
              <w:kinsoku/>
              <w:spacing w:line="560" w:lineRule="exact"/>
              <w:ind w:left="113"/>
              <w:rPr>
                <w:color w:val="auto"/>
                <w:sz w:val="24"/>
                <w:szCs w:val="24"/>
                <w:lang w:eastAsia="zh-CN"/>
              </w:rPr>
            </w:pPr>
            <w:r>
              <w:rPr>
                <w:rFonts w:hint="eastAsia"/>
                <w:color w:val="auto"/>
                <w:sz w:val="24"/>
                <w:szCs w:val="24"/>
                <w:lang w:eastAsia="zh-CN"/>
              </w:rPr>
              <w:t>参照表4.</w:t>
            </w:r>
            <w:r>
              <w:rPr>
                <w:color w:val="auto"/>
                <w:sz w:val="24"/>
                <w:szCs w:val="24"/>
                <w:lang w:eastAsia="zh-CN"/>
              </w:rPr>
              <w:t>4</w:t>
            </w:r>
            <w:r>
              <w:rPr>
                <w:rFonts w:hint="eastAsia"/>
                <w:color w:val="auto"/>
                <w:sz w:val="24"/>
                <w:szCs w:val="24"/>
                <w:lang w:eastAsia="zh-CN"/>
              </w:rPr>
              <w:t>.</w:t>
            </w:r>
            <w:r>
              <w:rPr>
                <w:color w:val="auto"/>
                <w:sz w:val="24"/>
                <w:szCs w:val="24"/>
                <w:lang w:eastAsia="zh-CN"/>
              </w:rPr>
              <w:t>13</w:t>
            </w:r>
          </w:p>
        </w:tc>
      </w:tr>
    </w:tbl>
    <w:p w14:paraId="365576B5">
      <w:pPr>
        <w:pStyle w:val="5"/>
        <w:widowControl w:val="0"/>
        <w:kinsoku/>
        <w:spacing w:line="560" w:lineRule="exact"/>
        <w:ind w:firstLine="480"/>
        <w:jc w:val="left"/>
        <w:rPr>
          <w:rFonts w:hint="eastAsia"/>
          <w:color w:val="000000"/>
          <w:sz w:val="21"/>
          <w:szCs w:val="21"/>
          <w:lang w:val="zh-CN" w:eastAsia="zh-CN" w:bidi="zh-CN"/>
        </w:rPr>
      </w:pPr>
      <w:r>
        <w:rPr>
          <w:rFonts w:hint="eastAsia"/>
          <w:color w:val="000000"/>
          <w:sz w:val="21"/>
          <w:szCs w:val="21"/>
          <w:lang w:val="zh-CN" w:eastAsia="zh-CN" w:bidi="zh-CN"/>
        </w:rPr>
        <w:t>对于风险出现概率高或涉及新型结构形式，新的施工工艺、新材料等的施工应用，质量风险控制机构应特别予以关注，并在各阶段报告中有所体现，例如：装配式建筑综合分析、钢结构住宅综合分析、地下室无梁楼盖安全性分析、外墙外保温系统稳定性分析等。</w:t>
      </w:r>
    </w:p>
    <w:p w14:paraId="19CC608F">
      <w:pPr>
        <w:pStyle w:val="5"/>
        <w:widowControl w:val="0"/>
        <w:kinsoku/>
        <w:spacing w:line="560" w:lineRule="exact"/>
        <w:ind w:firstLine="480"/>
        <w:jc w:val="left"/>
        <w:rPr>
          <w:rFonts w:hint="eastAsia"/>
          <w:color w:val="000000"/>
          <w:sz w:val="21"/>
          <w:szCs w:val="21"/>
          <w:lang w:val="zh-CN" w:eastAsia="zh-CN" w:bidi="zh-CN"/>
        </w:rPr>
      </w:pPr>
      <w:r>
        <w:rPr>
          <w:rFonts w:hint="eastAsia"/>
          <w:color w:val="000000"/>
          <w:sz w:val="21"/>
          <w:szCs w:val="21"/>
          <w:lang w:val="zh-CN" w:eastAsia="zh-CN" w:bidi="zh-CN"/>
        </w:rPr>
        <w:t>风险管理项目在报告中的内容根据风险管理项目应包括但不限于以下列明要求，且应附相关照片。</w:t>
      </w:r>
    </w:p>
    <w:p w14:paraId="5A38EE58">
      <w:pPr>
        <w:pStyle w:val="5"/>
        <w:widowControl w:val="0"/>
        <w:kinsoku/>
        <w:spacing w:line="560" w:lineRule="exact"/>
        <w:ind w:firstLine="0" w:firstLineChars="0"/>
        <w:jc w:val="left"/>
        <w:rPr>
          <w:b/>
          <w:bCs/>
          <w:color w:val="auto"/>
          <w:sz w:val="24"/>
          <w:szCs w:val="24"/>
          <w:lang w:eastAsia="zh-CN"/>
        </w:rPr>
      </w:pPr>
      <w:r>
        <w:rPr>
          <w:b/>
          <w:bCs/>
          <w:color w:val="auto"/>
          <w:sz w:val="24"/>
          <w:szCs w:val="24"/>
          <w:lang w:eastAsia="zh-CN"/>
        </w:rPr>
        <w:t>表</w:t>
      </w:r>
      <w:r>
        <w:rPr>
          <w:rFonts w:hint="eastAsia"/>
          <w:b/>
          <w:bCs/>
          <w:color w:val="auto"/>
          <w:sz w:val="24"/>
          <w:szCs w:val="24"/>
          <w:lang w:eastAsia="zh-CN"/>
        </w:rPr>
        <w:t>4.</w:t>
      </w:r>
      <w:r>
        <w:rPr>
          <w:b/>
          <w:bCs/>
          <w:color w:val="auto"/>
          <w:sz w:val="24"/>
          <w:szCs w:val="24"/>
          <w:lang w:eastAsia="zh-CN"/>
        </w:rPr>
        <w:t>6</w:t>
      </w:r>
      <w:r>
        <w:rPr>
          <w:rFonts w:hint="eastAsia"/>
          <w:b/>
          <w:bCs/>
          <w:color w:val="auto"/>
          <w:sz w:val="24"/>
          <w:szCs w:val="24"/>
          <w:lang w:eastAsia="zh-CN"/>
        </w:rPr>
        <w:t>.</w:t>
      </w:r>
      <w:r>
        <w:rPr>
          <w:b/>
          <w:bCs/>
          <w:color w:val="auto"/>
          <w:sz w:val="24"/>
          <w:szCs w:val="24"/>
          <w:lang w:eastAsia="zh-CN"/>
        </w:rPr>
        <w:t>2</w:t>
      </w:r>
      <w:r>
        <w:rPr>
          <w:rFonts w:hint="eastAsia"/>
          <w:b/>
          <w:bCs/>
          <w:color w:val="auto"/>
          <w:sz w:val="24"/>
          <w:szCs w:val="24"/>
          <w:lang w:val="en-US" w:eastAsia="zh-CN"/>
        </w:rPr>
        <w:t>各阶段风险管理阶段的主要内容</w:t>
      </w:r>
    </w:p>
    <w:tbl>
      <w:tblPr>
        <w:tblStyle w:val="13"/>
        <w:tblW w:w="9679" w:type="dxa"/>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585"/>
        <w:gridCol w:w="1984"/>
        <w:gridCol w:w="7110"/>
      </w:tblGrid>
      <w:tr w14:paraId="73C007F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54" w:hRule="atLeast"/>
          <w:jc w:val="center"/>
        </w:trPr>
        <w:tc>
          <w:tcPr>
            <w:tcW w:w="585" w:type="dxa"/>
            <w:tcBorders>
              <w:right w:val="single" w:color="000000" w:sz="2" w:space="0"/>
            </w:tcBorders>
            <w:noWrap w:val="0"/>
            <w:vAlign w:val="top"/>
          </w:tcPr>
          <w:p w14:paraId="1A0A60F8">
            <w:pPr>
              <w:pStyle w:val="12"/>
              <w:widowControl w:val="0"/>
              <w:kinsoku/>
              <w:spacing w:line="560" w:lineRule="exact"/>
              <w:jc w:val="center"/>
              <w:rPr>
                <w:b/>
                <w:bCs/>
                <w:color w:val="auto"/>
                <w:sz w:val="24"/>
                <w:szCs w:val="24"/>
                <w:lang w:eastAsia="zh-CN"/>
              </w:rPr>
            </w:pPr>
            <w:r>
              <w:rPr>
                <w:rFonts w:hint="eastAsia"/>
                <w:b/>
                <w:bCs/>
                <w:color w:val="auto"/>
                <w:sz w:val="24"/>
                <w:szCs w:val="24"/>
                <w:lang w:eastAsia="zh-CN"/>
              </w:rPr>
              <w:t>序号</w:t>
            </w:r>
          </w:p>
        </w:tc>
        <w:tc>
          <w:tcPr>
            <w:tcW w:w="1984" w:type="dxa"/>
            <w:tcBorders>
              <w:left w:val="single" w:color="000000" w:sz="2" w:space="0"/>
              <w:right w:val="single" w:color="000000" w:sz="2" w:space="0"/>
            </w:tcBorders>
            <w:noWrap w:val="0"/>
            <w:vAlign w:val="top"/>
          </w:tcPr>
          <w:p w14:paraId="0C3EC523">
            <w:pPr>
              <w:pStyle w:val="12"/>
              <w:widowControl w:val="0"/>
              <w:kinsoku/>
              <w:spacing w:line="560" w:lineRule="exact"/>
              <w:jc w:val="center"/>
              <w:rPr>
                <w:b/>
                <w:bCs/>
                <w:color w:val="auto"/>
                <w:sz w:val="24"/>
                <w:szCs w:val="24"/>
              </w:rPr>
            </w:pPr>
            <w:r>
              <w:rPr>
                <w:rFonts w:hint="eastAsia"/>
                <w:b/>
                <w:bCs/>
                <w:color w:val="auto"/>
                <w:sz w:val="24"/>
                <w:szCs w:val="24"/>
              </w:rPr>
              <w:t>风险管理项目</w:t>
            </w:r>
          </w:p>
        </w:tc>
        <w:tc>
          <w:tcPr>
            <w:tcW w:w="7110" w:type="dxa"/>
            <w:tcBorders>
              <w:left w:val="single" w:color="000000" w:sz="2" w:space="0"/>
            </w:tcBorders>
            <w:noWrap w:val="0"/>
            <w:vAlign w:val="top"/>
          </w:tcPr>
          <w:p w14:paraId="0B3ACF81">
            <w:pPr>
              <w:pStyle w:val="12"/>
              <w:widowControl w:val="0"/>
              <w:kinsoku/>
              <w:spacing w:line="560" w:lineRule="exact"/>
              <w:jc w:val="center"/>
              <w:rPr>
                <w:rFonts w:hint="default"/>
                <w:b/>
                <w:bCs/>
                <w:color w:val="auto"/>
                <w:sz w:val="24"/>
                <w:szCs w:val="24"/>
                <w:lang w:val="en-US" w:eastAsia="zh-CN"/>
              </w:rPr>
            </w:pPr>
            <w:r>
              <w:rPr>
                <w:rFonts w:hint="eastAsia"/>
                <w:b/>
                <w:bCs/>
                <w:color w:val="auto"/>
                <w:sz w:val="24"/>
                <w:szCs w:val="24"/>
                <w:lang w:val="en-US" w:eastAsia="zh-CN"/>
              </w:rPr>
              <w:t>主要</w:t>
            </w:r>
            <w:r>
              <w:rPr>
                <w:rFonts w:hint="eastAsia"/>
                <w:b/>
                <w:bCs/>
                <w:color w:val="auto"/>
                <w:sz w:val="24"/>
                <w:szCs w:val="24"/>
                <w:lang w:eastAsia="zh-CN"/>
              </w:rPr>
              <w:t>内容</w:t>
            </w:r>
          </w:p>
        </w:tc>
      </w:tr>
      <w:tr w14:paraId="0C45A88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jc w:val="center"/>
        </w:trPr>
        <w:tc>
          <w:tcPr>
            <w:tcW w:w="585" w:type="dxa"/>
            <w:tcBorders>
              <w:right w:val="single" w:color="000000" w:sz="2" w:space="0"/>
            </w:tcBorders>
            <w:noWrap w:val="0"/>
            <w:vAlign w:val="center"/>
          </w:tcPr>
          <w:p w14:paraId="0F631B95">
            <w:pPr>
              <w:pStyle w:val="12"/>
              <w:widowControl w:val="0"/>
              <w:kinsoku/>
              <w:spacing w:line="560" w:lineRule="exact"/>
              <w:jc w:val="center"/>
              <w:rPr>
                <w:color w:val="auto"/>
                <w:sz w:val="21"/>
                <w:szCs w:val="21"/>
              </w:rPr>
            </w:pPr>
            <w:r>
              <w:rPr>
                <w:rFonts w:hint="eastAsia"/>
                <w:color w:val="auto"/>
                <w:sz w:val="21"/>
                <w:szCs w:val="21"/>
              </w:rPr>
              <w:t>1</w:t>
            </w:r>
          </w:p>
        </w:tc>
        <w:tc>
          <w:tcPr>
            <w:tcW w:w="1984" w:type="dxa"/>
            <w:tcBorders>
              <w:left w:val="single" w:color="000000" w:sz="2" w:space="0"/>
              <w:right w:val="single" w:color="000000" w:sz="2" w:space="0"/>
            </w:tcBorders>
            <w:noWrap w:val="0"/>
            <w:vAlign w:val="center"/>
          </w:tcPr>
          <w:p w14:paraId="48E75362">
            <w:pPr>
              <w:pStyle w:val="12"/>
              <w:widowControl w:val="0"/>
              <w:kinsoku/>
              <w:spacing w:line="560" w:lineRule="exact"/>
              <w:jc w:val="left"/>
              <w:rPr>
                <w:color w:val="auto"/>
                <w:sz w:val="21"/>
                <w:szCs w:val="21"/>
              </w:rPr>
            </w:pPr>
            <w:r>
              <w:rPr>
                <w:rFonts w:hint="eastAsia"/>
                <w:color w:val="auto"/>
                <w:sz w:val="21"/>
                <w:szCs w:val="21"/>
              </w:rPr>
              <w:t>地基工程施工查勘</w:t>
            </w:r>
          </w:p>
        </w:tc>
        <w:tc>
          <w:tcPr>
            <w:tcW w:w="7110" w:type="dxa"/>
            <w:tcBorders>
              <w:left w:val="single" w:color="000000" w:sz="2" w:space="0"/>
            </w:tcBorders>
            <w:noWrap w:val="0"/>
            <w:vAlign w:val="top"/>
          </w:tcPr>
          <w:p w14:paraId="3A323C2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基坑（槽）挖土验槽要求检查以下内容：</w:t>
            </w:r>
          </w:p>
          <w:p w14:paraId="4DB9DA8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1、土层走向、厚度、土质变化；基坑验槽记录复核</w:t>
            </w:r>
          </w:p>
          <w:p w14:paraId="7FFF90E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2、槽底土质类别、颜色及坚硬均匀情况</w:t>
            </w:r>
          </w:p>
          <w:p w14:paraId="5FD43FCD">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3、地下水位及水浸情况等</w:t>
            </w:r>
          </w:p>
          <w:p w14:paraId="3749489D">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4、遇有明浜、暗浜、古坟、古井、洞穴、电缆、旧房基础，以及流沙等应在图中标明位置、标高、处理情况说明或写明变更文件编号</w:t>
            </w:r>
          </w:p>
          <w:p w14:paraId="5C83450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5、复查现场遗留的钻芯样品所揭示的地质状况</w:t>
            </w:r>
          </w:p>
          <w:p w14:paraId="7C5C72FC">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6、是否与勘察报告一致</w:t>
            </w:r>
          </w:p>
        </w:tc>
      </w:tr>
      <w:tr w14:paraId="6D3F4F0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jc w:val="center"/>
        </w:trPr>
        <w:tc>
          <w:tcPr>
            <w:tcW w:w="585" w:type="dxa"/>
            <w:tcBorders>
              <w:bottom w:val="single" w:color="000000" w:sz="2" w:space="0"/>
              <w:right w:val="single" w:color="000000" w:sz="2" w:space="0"/>
            </w:tcBorders>
            <w:noWrap w:val="0"/>
            <w:vAlign w:val="center"/>
          </w:tcPr>
          <w:p w14:paraId="764BAE43">
            <w:pPr>
              <w:pStyle w:val="12"/>
              <w:widowControl w:val="0"/>
              <w:kinsoku/>
              <w:spacing w:line="560" w:lineRule="exact"/>
              <w:jc w:val="center"/>
              <w:rPr>
                <w:color w:val="auto"/>
                <w:sz w:val="21"/>
                <w:szCs w:val="21"/>
              </w:rPr>
            </w:pPr>
            <w:r>
              <w:rPr>
                <w:rFonts w:hint="eastAsia"/>
                <w:color w:val="auto"/>
                <w:sz w:val="21"/>
                <w:szCs w:val="21"/>
              </w:rPr>
              <w:t>2</w:t>
            </w:r>
          </w:p>
        </w:tc>
        <w:tc>
          <w:tcPr>
            <w:tcW w:w="1984" w:type="dxa"/>
            <w:tcBorders>
              <w:left w:val="single" w:color="000000" w:sz="2" w:space="0"/>
              <w:bottom w:val="single" w:color="000000" w:sz="2" w:space="0"/>
              <w:right w:val="single" w:color="000000" w:sz="2" w:space="0"/>
            </w:tcBorders>
            <w:noWrap w:val="0"/>
            <w:vAlign w:val="center"/>
          </w:tcPr>
          <w:p w14:paraId="619AF6BD">
            <w:pPr>
              <w:pStyle w:val="12"/>
              <w:widowControl w:val="0"/>
              <w:kinsoku/>
              <w:spacing w:line="560" w:lineRule="exact"/>
              <w:jc w:val="left"/>
              <w:rPr>
                <w:color w:val="auto"/>
                <w:sz w:val="21"/>
                <w:szCs w:val="21"/>
              </w:rPr>
            </w:pPr>
            <w:r>
              <w:rPr>
                <w:rFonts w:hint="eastAsia"/>
                <w:color w:val="auto"/>
                <w:sz w:val="21"/>
                <w:szCs w:val="21"/>
              </w:rPr>
              <w:t>设计文件检查</w:t>
            </w:r>
          </w:p>
        </w:tc>
        <w:tc>
          <w:tcPr>
            <w:tcW w:w="7110" w:type="dxa"/>
            <w:tcBorders>
              <w:left w:val="single" w:color="000000" w:sz="2" w:space="0"/>
              <w:bottom w:val="single" w:color="000000" w:sz="2" w:space="0"/>
            </w:tcBorders>
            <w:noWrap w:val="0"/>
            <w:vAlign w:val="top"/>
          </w:tcPr>
          <w:p w14:paraId="5052C72D">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1、地基（桩基）承载力计算书复核；停止降水后的抗浮复核</w:t>
            </w:r>
          </w:p>
          <w:p w14:paraId="5186F528">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2、地基沉降，不均匀沉降计算书复核、基础冲切计算书复核</w:t>
            </w:r>
          </w:p>
          <w:p w14:paraId="2ADDBACE">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3、梁、板、墙、柱最小配筋率复核，角柱箍筋加密复核、悬挑及连接悬挑构件的配筋和抗扭复核、实配是否满足计算配筋复核、钢结构节点及稳定性复核、特殊荷载的全专业需求复核</w:t>
            </w:r>
          </w:p>
          <w:p w14:paraId="45D212FF">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5、后植筋长度，锚固件锚筋长度</w:t>
            </w:r>
          </w:p>
          <w:p w14:paraId="67086D87">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6、防水专项方案</w:t>
            </w:r>
          </w:p>
          <w:p w14:paraId="3D4FA273">
            <w:pPr>
              <w:pStyle w:val="12"/>
              <w:widowControl w:val="0"/>
              <w:kinsoku/>
              <w:spacing w:line="560" w:lineRule="exact"/>
              <w:ind w:left="525" w:leftChars="50" w:hanging="420" w:hangingChars="200"/>
              <w:rPr>
                <w:rFonts w:hint="eastAsia"/>
                <w:color w:val="auto"/>
                <w:sz w:val="21"/>
                <w:szCs w:val="21"/>
                <w:lang w:eastAsia="zh-CN"/>
              </w:rPr>
            </w:pPr>
            <w:r>
              <w:rPr>
                <w:rFonts w:hint="eastAsia"/>
                <w:color w:val="auto"/>
                <w:sz w:val="21"/>
                <w:szCs w:val="21"/>
                <w:lang w:eastAsia="zh-CN"/>
              </w:rPr>
              <w:t>7、保温专项方案</w:t>
            </w:r>
          </w:p>
          <w:p w14:paraId="2A8F0415">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8、装饰装修及安装整体方案</w:t>
            </w:r>
          </w:p>
        </w:tc>
      </w:tr>
      <w:tr w14:paraId="084891B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jc w:val="center"/>
        </w:trPr>
        <w:tc>
          <w:tcPr>
            <w:tcW w:w="585" w:type="dxa"/>
            <w:tcBorders>
              <w:top w:val="single" w:color="000000" w:sz="2" w:space="0"/>
              <w:right w:val="single" w:color="000000" w:sz="2" w:space="0"/>
            </w:tcBorders>
            <w:noWrap w:val="0"/>
            <w:vAlign w:val="center"/>
          </w:tcPr>
          <w:p w14:paraId="367A0BDD">
            <w:pPr>
              <w:pStyle w:val="12"/>
              <w:widowControl w:val="0"/>
              <w:kinsoku/>
              <w:spacing w:line="560" w:lineRule="exact"/>
              <w:jc w:val="center"/>
              <w:rPr>
                <w:color w:val="auto"/>
                <w:sz w:val="21"/>
                <w:szCs w:val="21"/>
              </w:rPr>
            </w:pPr>
            <w:r>
              <w:rPr>
                <w:rFonts w:hint="eastAsia"/>
                <w:color w:val="auto"/>
                <w:sz w:val="21"/>
                <w:szCs w:val="21"/>
              </w:rPr>
              <w:t>2</w:t>
            </w:r>
          </w:p>
        </w:tc>
        <w:tc>
          <w:tcPr>
            <w:tcW w:w="1984" w:type="dxa"/>
            <w:tcBorders>
              <w:top w:val="single" w:color="000000" w:sz="2" w:space="0"/>
              <w:left w:val="single" w:color="000000" w:sz="2" w:space="0"/>
              <w:right w:val="single" w:color="000000" w:sz="2" w:space="0"/>
            </w:tcBorders>
            <w:noWrap w:val="0"/>
            <w:vAlign w:val="center"/>
          </w:tcPr>
          <w:p w14:paraId="08E971CE">
            <w:pPr>
              <w:pStyle w:val="12"/>
              <w:widowControl w:val="0"/>
              <w:kinsoku/>
              <w:spacing w:line="560" w:lineRule="exact"/>
              <w:jc w:val="left"/>
              <w:rPr>
                <w:color w:val="auto"/>
                <w:sz w:val="21"/>
                <w:szCs w:val="21"/>
              </w:rPr>
            </w:pPr>
            <w:r>
              <w:rPr>
                <w:rFonts w:hint="eastAsia"/>
                <w:color w:val="auto"/>
                <w:sz w:val="21"/>
                <w:szCs w:val="21"/>
              </w:rPr>
              <w:t>桩基工程施工查勘</w:t>
            </w:r>
          </w:p>
        </w:tc>
        <w:tc>
          <w:tcPr>
            <w:tcW w:w="7110" w:type="dxa"/>
            <w:tcBorders>
              <w:top w:val="single" w:color="000000" w:sz="2" w:space="0"/>
              <w:left w:val="single" w:color="000000" w:sz="2" w:space="0"/>
            </w:tcBorders>
            <w:noWrap w:val="0"/>
            <w:vAlign w:val="top"/>
          </w:tcPr>
          <w:p w14:paraId="5889A17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PHC管桩：</w:t>
            </w:r>
          </w:p>
          <w:p w14:paraId="1036F30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1、检查成品桩质量证明文件</w:t>
            </w:r>
          </w:p>
          <w:p w14:paraId="20C3EBA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2、检查桩身外观（有无蜂窝、露筋、裂缝等）</w:t>
            </w:r>
          </w:p>
          <w:p w14:paraId="7D6CA6A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3、桩的贯入情况、桩体垂直度、桩顶完整情况及高程</w:t>
            </w:r>
          </w:p>
          <w:p w14:paraId="4928F9BC">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4、承载力试验及桩体质量检验报告</w:t>
            </w:r>
          </w:p>
          <w:p w14:paraId="49C1B21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混凝土灌注桩：</w:t>
            </w:r>
          </w:p>
          <w:p w14:paraId="0BFFC388">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1、检查原材料检测报告</w:t>
            </w:r>
          </w:p>
          <w:p w14:paraId="60B5DDC1">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2、检查桩位、孔深、桩径、垂直度、桩顶标高等</w:t>
            </w:r>
          </w:p>
          <w:p w14:paraId="33C7423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3、检查复核桩偏位、偏位补强，截桩及补桩情况</w:t>
            </w:r>
          </w:p>
          <w:p w14:paraId="1274887D">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4、检查是否存在断桩、缩颈等高风险桩基</w:t>
            </w:r>
          </w:p>
          <w:p w14:paraId="6BB67255">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5、检查混凝土强度、承载力检验数据</w:t>
            </w:r>
          </w:p>
          <w:p w14:paraId="3B75BC30">
            <w:pPr>
              <w:pStyle w:val="12"/>
              <w:widowControl w:val="0"/>
              <w:kinsoku/>
              <w:spacing w:line="560" w:lineRule="exact"/>
              <w:ind w:left="525" w:leftChars="50" w:hanging="420" w:hangingChars="200"/>
              <w:rPr>
                <w:color w:val="auto"/>
                <w:sz w:val="21"/>
                <w:szCs w:val="21"/>
              </w:rPr>
            </w:pPr>
            <w:r>
              <w:rPr>
                <w:rFonts w:hint="eastAsia"/>
                <w:color w:val="auto"/>
                <w:sz w:val="21"/>
                <w:szCs w:val="21"/>
              </w:rPr>
              <w:t>其他类型桩</w:t>
            </w:r>
          </w:p>
        </w:tc>
      </w:tr>
      <w:tr w14:paraId="58017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139BF189">
            <w:pPr>
              <w:pStyle w:val="12"/>
              <w:widowControl w:val="0"/>
              <w:kinsoku/>
              <w:spacing w:line="560" w:lineRule="exact"/>
              <w:jc w:val="center"/>
              <w:rPr>
                <w:color w:val="auto"/>
                <w:sz w:val="21"/>
                <w:szCs w:val="21"/>
              </w:rPr>
            </w:pPr>
            <w:r>
              <w:rPr>
                <w:rFonts w:hint="eastAsia"/>
                <w:color w:val="auto"/>
                <w:sz w:val="21"/>
                <w:szCs w:val="21"/>
              </w:rPr>
              <w:t>3</w:t>
            </w:r>
          </w:p>
        </w:tc>
        <w:tc>
          <w:tcPr>
            <w:tcW w:w="1984" w:type="dxa"/>
            <w:noWrap w:val="0"/>
            <w:vAlign w:val="center"/>
          </w:tcPr>
          <w:p w14:paraId="2F6E6369">
            <w:pPr>
              <w:pStyle w:val="12"/>
              <w:widowControl w:val="0"/>
              <w:kinsoku/>
              <w:spacing w:line="560" w:lineRule="exact"/>
              <w:ind w:right="191"/>
              <w:jc w:val="left"/>
              <w:rPr>
                <w:color w:val="auto"/>
                <w:sz w:val="21"/>
                <w:szCs w:val="21"/>
                <w:lang w:eastAsia="zh-CN"/>
              </w:rPr>
            </w:pPr>
            <w:r>
              <w:rPr>
                <w:rFonts w:hint="eastAsia"/>
                <w:color w:val="auto"/>
                <w:sz w:val="21"/>
                <w:szCs w:val="21"/>
                <w:lang w:eastAsia="zh-CN"/>
              </w:rPr>
              <w:t>钢筋工程施工查勘（基础和主体结构）</w:t>
            </w:r>
          </w:p>
        </w:tc>
        <w:tc>
          <w:tcPr>
            <w:tcW w:w="7110" w:type="dxa"/>
            <w:tcBorders>
              <w:right w:val="single" w:color="000000" w:sz="10" w:space="0"/>
            </w:tcBorders>
            <w:noWrap w:val="0"/>
            <w:vAlign w:val="top"/>
          </w:tcPr>
          <w:p w14:paraId="254CC53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1、纵向受力钢筋的牌号、规格、数量、位置；</w:t>
            </w:r>
          </w:p>
          <w:p w14:paraId="17DF3FD7">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2、钢筋的连接方式、接头位置、接头数量、接头面积百分率、搭接长度、锚固方式及锚固长度；</w:t>
            </w:r>
          </w:p>
          <w:p w14:paraId="066C258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3、箍筋、横向钢筋的牌号、规格、数量、间距，箍筋弯钩的弯折角度及平直段长度；</w:t>
            </w:r>
          </w:p>
          <w:p w14:paraId="787EC01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4、预埋件的规格、数量、位置。</w:t>
            </w:r>
          </w:p>
          <w:p w14:paraId="662D8E27">
            <w:pPr>
              <w:pStyle w:val="12"/>
              <w:widowControl w:val="0"/>
              <w:kinsoku/>
              <w:spacing w:line="560" w:lineRule="exact"/>
              <w:ind w:left="525" w:leftChars="50" w:hanging="420" w:hangingChars="200"/>
              <w:rPr>
                <w:color w:val="auto"/>
                <w:sz w:val="21"/>
                <w:szCs w:val="21"/>
              </w:rPr>
            </w:pPr>
            <w:r>
              <w:rPr>
                <w:rFonts w:hint="eastAsia"/>
                <w:color w:val="auto"/>
                <w:sz w:val="21"/>
                <w:szCs w:val="21"/>
              </w:rPr>
              <w:t>5、钢筋连接质量。</w:t>
            </w:r>
          </w:p>
        </w:tc>
      </w:tr>
      <w:tr w14:paraId="3E9D7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4C25E84E">
            <w:pPr>
              <w:pStyle w:val="12"/>
              <w:widowControl w:val="0"/>
              <w:kinsoku/>
              <w:spacing w:line="560" w:lineRule="exact"/>
              <w:jc w:val="center"/>
              <w:rPr>
                <w:color w:val="auto"/>
                <w:sz w:val="21"/>
                <w:szCs w:val="21"/>
              </w:rPr>
            </w:pPr>
            <w:r>
              <w:rPr>
                <w:rFonts w:hint="eastAsia"/>
                <w:color w:val="auto"/>
                <w:sz w:val="21"/>
                <w:szCs w:val="21"/>
              </w:rPr>
              <w:t>4</w:t>
            </w:r>
          </w:p>
        </w:tc>
        <w:tc>
          <w:tcPr>
            <w:tcW w:w="1984" w:type="dxa"/>
            <w:noWrap w:val="0"/>
            <w:vAlign w:val="center"/>
          </w:tcPr>
          <w:p w14:paraId="005D8929">
            <w:pPr>
              <w:pStyle w:val="12"/>
              <w:widowControl w:val="0"/>
              <w:kinsoku/>
              <w:spacing w:line="560" w:lineRule="exact"/>
              <w:ind w:right="191"/>
              <w:jc w:val="left"/>
              <w:rPr>
                <w:color w:val="auto"/>
                <w:sz w:val="21"/>
                <w:szCs w:val="21"/>
                <w:lang w:eastAsia="zh-CN"/>
              </w:rPr>
            </w:pPr>
            <w:r>
              <w:rPr>
                <w:rFonts w:hint="eastAsia"/>
                <w:color w:val="auto"/>
                <w:sz w:val="21"/>
                <w:szCs w:val="21"/>
                <w:lang w:eastAsia="zh-CN"/>
              </w:rPr>
              <w:t>模板工程施工查勘（基础和主体结构）</w:t>
            </w:r>
          </w:p>
        </w:tc>
        <w:tc>
          <w:tcPr>
            <w:tcW w:w="7110" w:type="dxa"/>
            <w:tcBorders>
              <w:right w:val="single" w:color="000000" w:sz="10" w:space="0"/>
            </w:tcBorders>
            <w:noWrap w:val="0"/>
            <w:vAlign w:val="top"/>
          </w:tcPr>
          <w:p w14:paraId="2AF975D7">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1、检查模板安装质量（模板安装接缝是否漏浆，模板与混凝土接触面是否清理干净并涂刷隔离剂等）</w:t>
            </w:r>
          </w:p>
          <w:p w14:paraId="094897A8">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2、检查模板截面尺寸、垂直度、轴线位置等</w:t>
            </w:r>
          </w:p>
          <w:p w14:paraId="4C4C40B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3、对跨度不小于4m的现浇钢筋混凝土梁、板，模板是否按设计要求起拱</w:t>
            </w:r>
          </w:p>
          <w:p w14:paraId="442650AD">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4、检查固定在模板上的预埋件、预留孔和预留洞</w:t>
            </w:r>
          </w:p>
        </w:tc>
      </w:tr>
      <w:tr w14:paraId="3500C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bottom w:val="single" w:color="000000" w:sz="10" w:space="0"/>
            </w:tcBorders>
            <w:noWrap w:val="0"/>
            <w:vAlign w:val="center"/>
          </w:tcPr>
          <w:p w14:paraId="64AF0118">
            <w:pPr>
              <w:pStyle w:val="12"/>
              <w:widowControl w:val="0"/>
              <w:kinsoku/>
              <w:spacing w:line="560" w:lineRule="exact"/>
              <w:jc w:val="center"/>
              <w:rPr>
                <w:color w:val="auto"/>
                <w:sz w:val="21"/>
                <w:szCs w:val="21"/>
              </w:rPr>
            </w:pPr>
            <w:r>
              <w:rPr>
                <w:rFonts w:hint="eastAsia"/>
                <w:color w:val="auto"/>
                <w:sz w:val="21"/>
                <w:szCs w:val="21"/>
              </w:rPr>
              <w:t>5</w:t>
            </w:r>
          </w:p>
        </w:tc>
        <w:tc>
          <w:tcPr>
            <w:tcW w:w="1984" w:type="dxa"/>
            <w:tcBorders>
              <w:bottom w:val="single" w:color="000000" w:sz="10" w:space="0"/>
            </w:tcBorders>
            <w:noWrap w:val="0"/>
            <w:vAlign w:val="center"/>
          </w:tcPr>
          <w:p w14:paraId="7BE36223">
            <w:pPr>
              <w:pStyle w:val="12"/>
              <w:widowControl w:val="0"/>
              <w:kinsoku/>
              <w:spacing w:line="560" w:lineRule="exact"/>
              <w:jc w:val="left"/>
              <w:rPr>
                <w:color w:val="auto"/>
                <w:sz w:val="21"/>
                <w:szCs w:val="21"/>
                <w:lang w:eastAsia="zh-CN"/>
              </w:rPr>
            </w:pPr>
            <w:r>
              <w:rPr>
                <w:rFonts w:hint="eastAsia"/>
                <w:color w:val="auto"/>
                <w:sz w:val="21"/>
                <w:szCs w:val="21"/>
                <w:lang w:eastAsia="zh-CN"/>
              </w:rPr>
              <w:t>混凝土浇筑工程施工查勘（基础和主体结构）</w:t>
            </w:r>
          </w:p>
        </w:tc>
        <w:tc>
          <w:tcPr>
            <w:tcW w:w="7110" w:type="dxa"/>
            <w:tcBorders>
              <w:bottom w:val="single" w:color="000000" w:sz="10" w:space="0"/>
              <w:right w:val="single" w:color="000000" w:sz="10" w:space="0"/>
            </w:tcBorders>
            <w:noWrap w:val="0"/>
            <w:vAlign w:val="top"/>
          </w:tcPr>
          <w:p w14:paraId="01D8406A">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1、检查原材料产品合格证、出厂检验报告和进场复验报告</w:t>
            </w:r>
          </w:p>
          <w:p w14:paraId="40109845">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2、混凝土配合比、坍落度是否符合设计要求，混凝土运输、浇筑及间歇的全部时间是否合理</w:t>
            </w:r>
          </w:p>
          <w:p w14:paraId="3836FC4A">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3、检查施工缝、后浇带的位置及处理方案</w:t>
            </w:r>
          </w:p>
          <w:p w14:paraId="35A1CE2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4、大体积混凝土施工，需要核查温控方法是否合理、到位</w:t>
            </w:r>
          </w:p>
          <w:p w14:paraId="2B076391">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5、检查施工单位的取样、养护</w:t>
            </w:r>
          </w:p>
          <w:p w14:paraId="592BAE62">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6、检查成品混凝土外观是否有露筋、蜂窝、孔洞、外形等缺陷</w:t>
            </w:r>
          </w:p>
          <w:p w14:paraId="332F53FC">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7、检查现浇混凝土结构是否有影响结构安全和使用功能的尺寸偏差</w:t>
            </w:r>
          </w:p>
        </w:tc>
      </w:tr>
      <w:tr w14:paraId="6E30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top w:val="single" w:color="000000" w:sz="10" w:space="0"/>
              <w:left w:val="single" w:color="000000" w:sz="10" w:space="0"/>
            </w:tcBorders>
            <w:noWrap w:val="0"/>
            <w:vAlign w:val="center"/>
          </w:tcPr>
          <w:p w14:paraId="0CC99A8E">
            <w:pPr>
              <w:pStyle w:val="12"/>
              <w:widowControl w:val="0"/>
              <w:kinsoku/>
              <w:spacing w:line="560" w:lineRule="exact"/>
              <w:jc w:val="center"/>
              <w:rPr>
                <w:color w:val="auto"/>
                <w:sz w:val="21"/>
                <w:szCs w:val="21"/>
              </w:rPr>
            </w:pPr>
            <w:r>
              <w:rPr>
                <w:rFonts w:hint="eastAsia"/>
                <w:color w:val="auto"/>
                <w:sz w:val="21"/>
                <w:szCs w:val="21"/>
              </w:rPr>
              <w:t>6</w:t>
            </w:r>
          </w:p>
        </w:tc>
        <w:tc>
          <w:tcPr>
            <w:tcW w:w="1984" w:type="dxa"/>
            <w:tcBorders>
              <w:top w:val="single" w:color="000000" w:sz="10" w:space="0"/>
            </w:tcBorders>
            <w:noWrap w:val="0"/>
            <w:vAlign w:val="center"/>
          </w:tcPr>
          <w:p w14:paraId="035E6F85">
            <w:pPr>
              <w:pStyle w:val="12"/>
              <w:widowControl w:val="0"/>
              <w:kinsoku/>
              <w:spacing w:line="560" w:lineRule="exact"/>
              <w:jc w:val="left"/>
              <w:rPr>
                <w:color w:val="auto"/>
                <w:sz w:val="21"/>
                <w:szCs w:val="21"/>
                <w:lang w:eastAsia="zh-CN"/>
              </w:rPr>
            </w:pPr>
            <w:r>
              <w:rPr>
                <w:rFonts w:hint="eastAsia"/>
                <w:color w:val="auto"/>
                <w:sz w:val="21"/>
                <w:szCs w:val="21"/>
                <w:lang w:eastAsia="zh-CN"/>
              </w:rPr>
              <w:t>混凝土测试检查（基础和主体结构）</w:t>
            </w:r>
          </w:p>
        </w:tc>
        <w:tc>
          <w:tcPr>
            <w:tcW w:w="7110" w:type="dxa"/>
            <w:tcBorders>
              <w:top w:val="single" w:color="000000" w:sz="10" w:space="0"/>
              <w:right w:val="single" w:color="000000" w:sz="10" w:space="0"/>
            </w:tcBorders>
            <w:noWrap w:val="0"/>
            <w:vAlign w:val="top"/>
          </w:tcPr>
          <w:p w14:paraId="4E831C9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1、检查试块强度试验、坍落度试验等</w:t>
            </w:r>
          </w:p>
          <w:p w14:paraId="3BBA989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2、回弹试验检测混凝土强度；</w:t>
            </w:r>
          </w:p>
          <w:p w14:paraId="761B5F8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3、超声波检测强度、结构内部缺陷和裂缝、均质性、损伤层厚度等；</w:t>
            </w:r>
          </w:p>
          <w:p w14:paraId="43E48225">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4、钢筋探测仪检测钢筋数量、间距、保护层厚度等</w:t>
            </w:r>
          </w:p>
          <w:p w14:paraId="555DBE6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5、大体积混凝土浇筑管理：养护、施工冷缝复测等</w:t>
            </w:r>
          </w:p>
        </w:tc>
      </w:tr>
      <w:tr w14:paraId="1D8E1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656A11AC">
            <w:pPr>
              <w:pStyle w:val="12"/>
              <w:widowControl w:val="0"/>
              <w:kinsoku/>
              <w:spacing w:line="560" w:lineRule="exact"/>
              <w:jc w:val="center"/>
              <w:rPr>
                <w:color w:val="auto"/>
                <w:sz w:val="21"/>
                <w:szCs w:val="21"/>
              </w:rPr>
            </w:pPr>
            <w:r>
              <w:rPr>
                <w:rFonts w:hint="eastAsia"/>
                <w:color w:val="auto"/>
                <w:sz w:val="21"/>
                <w:szCs w:val="21"/>
              </w:rPr>
              <w:t>7</w:t>
            </w:r>
          </w:p>
        </w:tc>
        <w:tc>
          <w:tcPr>
            <w:tcW w:w="1984" w:type="dxa"/>
            <w:noWrap w:val="0"/>
            <w:vAlign w:val="center"/>
          </w:tcPr>
          <w:p w14:paraId="1172D85D">
            <w:pPr>
              <w:pStyle w:val="12"/>
              <w:widowControl w:val="0"/>
              <w:kinsoku/>
              <w:spacing w:line="560" w:lineRule="exact"/>
              <w:ind w:right="107" w:firstLine="80"/>
              <w:jc w:val="left"/>
              <w:rPr>
                <w:color w:val="auto"/>
                <w:sz w:val="21"/>
                <w:szCs w:val="21"/>
                <w:lang w:eastAsia="zh-CN"/>
              </w:rPr>
            </w:pPr>
            <w:r>
              <w:rPr>
                <w:rFonts w:hint="eastAsia"/>
                <w:color w:val="auto"/>
                <w:sz w:val="21"/>
                <w:szCs w:val="21"/>
                <w:lang w:eastAsia="zh-CN"/>
              </w:rPr>
              <w:t>地下室防水工程施工查勘（包括材料检查，如抗渗混凝土、防水卷材等）</w:t>
            </w:r>
          </w:p>
        </w:tc>
        <w:tc>
          <w:tcPr>
            <w:tcW w:w="7110" w:type="dxa"/>
            <w:tcBorders>
              <w:right w:val="single" w:color="000000" w:sz="10" w:space="0"/>
            </w:tcBorders>
            <w:noWrap w:val="0"/>
            <w:vAlign w:val="top"/>
          </w:tcPr>
          <w:p w14:paraId="5C433FD9">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1、检查原材料产品合格证、出厂检验报告，混凝土配合比及坍落度是否符合规范要求，检查混凝土抗压、抗渗检验报告</w:t>
            </w:r>
          </w:p>
          <w:p w14:paraId="4A98067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2、变形缝、施工缝、后浇带、穿墙管道、埋设件等设置和构造是否符合要求，是否有渗漏现象</w:t>
            </w:r>
          </w:p>
          <w:p w14:paraId="238D063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3、水泥砂浆防水层表面是否密实、平整，有无裂纹、起砂、麻棉等缺陷，阴阳角处是否做成弧形</w:t>
            </w:r>
          </w:p>
          <w:p w14:paraId="5C65944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4、卷材层基层是否牢固，基面是否有空鼓、松动、起砂和脱皮现象，搭接缝是否黏结牢固，密封严实，不得有皱褶、翘边和鼓泡等缺陷</w:t>
            </w:r>
          </w:p>
          <w:p w14:paraId="3493967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5、涂料防水层表面平整、刷涂均匀，是否有流淌、皱褶、鼓泡、露胎体和翘边等缺陷，厚度是否达到要求</w:t>
            </w:r>
          </w:p>
        </w:tc>
      </w:tr>
      <w:tr w14:paraId="59CE1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bottom w:val="single" w:color="000000" w:sz="10" w:space="0"/>
            </w:tcBorders>
            <w:noWrap w:val="0"/>
            <w:vAlign w:val="center"/>
          </w:tcPr>
          <w:p w14:paraId="04AF8C6D">
            <w:pPr>
              <w:pStyle w:val="12"/>
              <w:widowControl w:val="0"/>
              <w:kinsoku/>
              <w:spacing w:line="560" w:lineRule="exact"/>
              <w:jc w:val="center"/>
              <w:rPr>
                <w:color w:val="auto"/>
                <w:sz w:val="21"/>
                <w:szCs w:val="21"/>
              </w:rPr>
            </w:pPr>
            <w:r>
              <w:rPr>
                <w:rFonts w:hint="eastAsia"/>
                <w:color w:val="auto"/>
                <w:sz w:val="21"/>
                <w:szCs w:val="21"/>
              </w:rPr>
              <w:t>8</w:t>
            </w:r>
          </w:p>
        </w:tc>
        <w:tc>
          <w:tcPr>
            <w:tcW w:w="1984" w:type="dxa"/>
            <w:tcBorders>
              <w:bottom w:val="single" w:color="000000" w:sz="10" w:space="0"/>
            </w:tcBorders>
            <w:noWrap w:val="0"/>
            <w:vAlign w:val="center"/>
          </w:tcPr>
          <w:p w14:paraId="40367FB9">
            <w:pPr>
              <w:pStyle w:val="12"/>
              <w:widowControl w:val="0"/>
              <w:kinsoku/>
              <w:spacing w:line="560" w:lineRule="exact"/>
              <w:jc w:val="left"/>
              <w:rPr>
                <w:color w:val="auto"/>
                <w:sz w:val="21"/>
                <w:szCs w:val="21"/>
                <w:lang w:eastAsia="zh-CN"/>
              </w:rPr>
            </w:pPr>
            <w:r>
              <w:rPr>
                <w:rFonts w:hint="eastAsia"/>
                <w:color w:val="auto"/>
                <w:sz w:val="21"/>
                <w:szCs w:val="21"/>
                <w:lang w:eastAsia="zh-CN"/>
              </w:rPr>
              <w:t>屋面防水和保温工程施工查勘（包括材料检查，如防水卷材等）</w:t>
            </w:r>
          </w:p>
        </w:tc>
        <w:tc>
          <w:tcPr>
            <w:tcW w:w="7110" w:type="dxa"/>
            <w:tcBorders>
              <w:bottom w:val="single" w:color="000000" w:sz="10" w:space="0"/>
              <w:right w:val="single" w:color="000000" w:sz="10" w:space="0"/>
            </w:tcBorders>
            <w:noWrap w:val="0"/>
            <w:vAlign w:val="top"/>
          </w:tcPr>
          <w:p w14:paraId="62BB35D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1、屋面工程所采用的防水、保温隔热材料应有产品合格证书和性能检测报告，材料的品种、规格、性能等应符合要求</w:t>
            </w:r>
          </w:p>
          <w:p w14:paraId="39398BA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2、找平层材料质量、配合比及排水坡度是否符合设计要求，有无疏松、起砂、起皮现象</w:t>
            </w:r>
          </w:p>
          <w:p w14:paraId="49ACB3C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3、保温层含水率、厚度、铺设方法及质量是否满足设计要求</w:t>
            </w:r>
          </w:p>
          <w:p w14:paraId="10D7266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4、防水层基层外表平整、干净、干燥，外表不酥松</w:t>
            </w:r>
          </w:p>
          <w:p w14:paraId="22912CC2">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5、卷材铺贴方法、方向是否符合规范要求，</w:t>
            </w:r>
          </w:p>
          <w:p w14:paraId="32D27B2D">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6、天沟、檐沟、水落口、泛水、变形缝和伸出屋面管道的防水构造是否符合要求</w:t>
            </w:r>
          </w:p>
          <w:p w14:paraId="4798C73E">
            <w:pPr>
              <w:pStyle w:val="12"/>
              <w:widowControl w:val="0"/>
              <w:kinsoku/>
              <w:spacing w:line="560" w:lineRule="exact"/>
              <w:ind w:left="525" w:leftChars="50" w:hanging="420" w:hangingChars="200"/>
              <w:rPr>
                <w:color w:val="auto"/>
                <w:sz w:val="21"/>
                <w:szCs w:val="21"/>
              </w:rPr>
            </w:pPr>
            <w:r>
              <w:rPr>
                <w:rFonts w:hint="eastAsia"/>
                <w:color w:val="auto"/>
                <w:sz w:val="21"/>
                <w:szCs w:val="21"/>
              </w:rPr>
              <w:t>7、屋面排水坡度及排水方式</w:t>
            </w:r>
          </w:p>
          <w:p w14:paraId="06C4DFD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8、淋水试验</w:t>
            </w:r>
          </w:p>
          <w:p w14:paraId="0928A690">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9、排水口检查是否符合设计要求，如坡度、口径等；</w:t>
            </w:r>
          </w:p>
        </w:tc>
      </w:tr>
      <w:tr w14:paraId="38666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36C78849">
            <w:pPr>
              <w:pStyle w:val="12"/>
              <w:widowControl w:val="0"/>
              <w:kinsoku/>
              <w:spacing w:line="560" w:lineRule="exact"/>
              <w:jc w:val="center"/>
              <w:rPr>
                <w:color w:val="auto"/>
                <w:sz w:val="21"/>
                <w:szCs w:val="21"/>
              </w:rPr>
            </w:pPr>
            <w:r>
              <w:rPr>
                <w:rFonts w:hint="eastAsia"/>
                <w:color w:val="auto"/>
                <w:sz w:val="21"/>
                <w:szCs w:val="21"/>
              </w:rPr>
              <w:t>9</w:t>
            </w:r>
          </w:p>
        </w:tc>
        <w:tc>
          <w:tcPr>
            <w:tcW w:w="1984" w:type="dxa"/>
            <w:noWrap w:val="0"/>
            <w:vAlign w:val="center"/>
          </w:tcPr>
          <w:p w14:paraId="534B3441">
            <w:pPr>
              <w:pStyle w:val="12"/>
              <w:widowControl w:val="0"/>
              <w:kinsoku/>
              <w:spacing w:line="560" w:lineRule="exact"/>
              <w:ind w:right="191" w:firstLine="3"/>
              <w:jc w:val="left"/>
              <w:rPr>
                <w:color w:val="auto"/>
                <w:sz w:val="21"/>
                <w:szCs w:val="21"/>
                <w:lang w:eastAsia="zh-CN"/>
              </w:rPr>
            </w:pPr>
            <w:r>
              <w:rPr>
                <w:rFonts w:hint="eastAsia"/>
                <w:color w:val="auto"/>
                <w:sz w:val="21"/>
                <w:szCs w:val="21"/>
                <w:lang w:eastAsia="zh-CN"/>
              </w:rPr>
              <w:t>外墙工程施工查勘（保温及外立面）</w:t>
            </w:r>
          </w:p>
          <w:p w14:paraId="0D1C54AB">
            <w:pPr>
              <w:pStyle w:val="12"/>
              <w:widowControl w:val="0"/>
              <w:kinsoku/>
              <w:spacing w:line="560" w:lineRule="exact"/>
              <w:jc w:val="left"/>
              <w:rPr>
                <w:color w:val="auto"/>
                <w:sz w:val="21"/>
                <w:szCs w:val="21"/>
                <w:lang w:eastAsia="zh-CN"/>
              </w:rPr>
            </w:pPr>
            <w:r>
              <w:rPr>
                <w:rFonts w:hint="eastAsia"/>
                <w:color w:val="auto"/>
                <w:sz w:val="21"/>
                <w:szCs w:val="21"/>
                <w:lang w:eastAsia="zh-CN"/>
              </w:rPr>
              <w:t>（包括材料检查，如</w:t>
            </w:r>
          </w:p>
          <w:p w14:paraId="64AFFD56">
            <w:pPr>
              <w:pStyle w:val="12"/>
              <w:widowControl w:val="0"/>
              <w:kinsoku/>
              <w:spacing w:line="560" w:lineRule="exact"/>
              <w:jc w:val="left"/>
              <w:rPr>
                <w:color w:val="auto"/>
                <w:sz w:val="21"/>
                <w:szCs w:val="21"/>
                <w:lang w:eastAsia="zh-CN"/>
              </w:rPr>
            </w:pPr>
            <w:r>
              <w:rPr>
                <w:rFonts w:hint="eastAsia"/>
                <w:color w:val="auto"/>
                <w:sz w:val="21"/>
                <w:szCs w:val="21"/>
                <w:lang w:eastAsia="zh-CN"/>
              </w:rPr>
              <w:t>砂浆、粘合剂等）</w:t>
            </w:r>
          </w:p>
        </w:tc>
        <w:tc>
          <w:tcPr>
            <w:tcW w:w="7110" w:type="dxa"/>
            <w:tcBorders>
              <w:right w:val="single" w:color="000000" w:sz="10" w:space="0"/>
            </w:tcBorders>
            <w:noWrap w:val="0"/>
            <w:vAlign w:val="top"/>
          </w:tcPr>
          <w:p w14:paraId="7E6C987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1、用于墙体工程的材料、构件等，其品种、规格是否符合设计要求和相关标准的规定</w:t>
            </w:r>
          </w:p>
          <w:p w14:paraId="6D57BC01">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2、墙体节能工程的保温材料在施工过程中是否采取防潮、防水等保护措施</w:t>
            </w:r>
          </w:p>
          <w:p w14:paraId="61C6DB78">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3、墙体工程各层构造做法是否符合要求</w:t>
            </w:r>
          </w:p>
          <w:p w14:paraId="4E8AD2C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4、外墙外保温层及饰面层与其他部位交接的收口处，是否采取密封措施</w:t>
            </w:r>
          </w:p>
          <w:p w14:paraId="37131AC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5、面层有无空鼓和裂缝。</w:t>
            </w:r>
          </w:p>
        </w:tc>
      </w:tr>
      <w:tr w14:paraId="580A4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0B0ED276">
            <w:pPr>
              <w:pStyle w:val="12"/>
              <w:widowControl w:val="0"/>
              <w:kinsoku/>
              <w:spacing w:line="560" w:lineRule="exact"/>
              <w:jc w:val="center"/>
              <w:rPr>
                <w:color w:val="auto"/>
                <w:sz w:val="21"/>
                <w:szCs w:val="21"/>
              </w:rPr>
            </w:pPr>
            <w:r>
              <w:rPr>
                <w:rFonts w:hint="eastAsia"/>
                <w:color w:val="auto"/>
                <w:sz w:val="21"/>
                <w:szCs w:val="21"/>
              </w:rPr>
              <w:t>10</w:t>
            </w:r>
          </w:p>
        </w:tc>
        <w:tc>
          <w:tcPr>
            <w:tcW w:w="1984" w:type="dxa"/>
            <w:noWrap w:val="0"/>
            <w:vAlign w:val="center"/>
          </w:tcPr>
          <w:p w14:paraId="2084B681">
            <w:pPr>
              <w:pStyle w:val="12"/>
              <w:widowControl w:val="0"/>
              <w:kinsoku/>
              <w:spacing w:line="560" w:lineRule="exact"/>
              <w:jc w:val="left"/>
              <w:rPr>
                <w:color w:val="auto"/>
                <w:sz w:val="21"/>
                <w:szCs w:val="21"/>
              </w:rPr>
            </w:pPr>
            <w:r>
              <w:rPr>
                <w:rFonts w:hint="eastAsia"/>
                <w:color w:val="auto"/>
                <w:sz w:val="21"/>
                <w:szCs w:val="21"/>
              </w:rPr>
              <w:t>幕墙工程</w:t>
            </w:r>
          </w:p>
          <w:p w14:paraId="63669067">
            <w:pPr>
              <w:pStyle w:val="12"/>
              <w:widowControl w:val="0"/>
              <w:kinsoku/>
              <w:spacing w:line="560" w:lineRule="exact"/>
              <w:jc w:val="left"/>
              <w:rPr>
                <w:color w:val="auto"/>
                <w:sz w:val="21"/>
                <w:szCs w:val="21"/>
              </w:rPr>
            </w:pPr>
            <w:r>
              <w:rPr>
                <w:rFonts w:hint="eastAsia"/>
                <w:color w:val="auto"/>
                <w:sz w:val="21"/>
                <w:szCs w:val="21"/>
              </w:rPr>
              <w:t>质量查勘</w:t>
            </w:r>
          </w:p>
        </w:tc>
        <w:tc>
          <w:tcPr>
            <w:tcW w:w="7110" w:type="dxa"/>
            <w:tcBorders>
              <w:right w:val="single" w:color="000000" w:sz="10" w:space="0"/>
            </w:tcBorders>
            <w:noWrap w:val="0"/>
            <w:vAlign w:val="top"/>
          </w:tcPr>
          <w:p w14:paraId="3B6F084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1、材料进场验收：断面；壁厚；喷涂厚度等，材料检测报告</w:t>
            </w:r>
          </w:p>
          <w:p w14:paraId="60C5D497">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2、埋件加工质量，埋件位置是否偏位等</w:t>
            </w:r>
          </w:p>
          <w:p w14:paraId="06F50C6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3、龙骨，背板安装质量</w:t>
            </w:r>
          </w:p>
          <w:p w14:paraId="20AAC8E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4、玻璃幕墙的胶片，紧固件，排水天沟的施工质量</w:t>
            </w:r>
          </w:p>
          <w:p w14:paraId="227DBAE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5、闭水试验，防渗漏测试漏</w:t>
            </w:r>
          </w:p>
        </w:tc>
      </w:tr>
      <w:tr w14:paraId="4094C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601BCB57">
            <w:pPr>
              <w:pStyle w:val="12"/>
              <w:widowControl w:val="0"/>
              <w:kinsoku/>
              <w:spacing w:line="560" w:lineRule="exact"/>
              <w:jc w:val="center"/>
              <w:rPr>
                <w:color w:val="auto"/>
                <w:sz w:val="21"/>
                <w:szCs w:val="21"/>
              </w:rPr>
            </w:pPr>
            <w:r>
              <w:rPr>
                <w:rFonts w:hint="eastAsia"/>
                <w:color w:val="auto"/>
                <w:sz w:val="21"/>
                <w:szCs w:val="21"/>
              </w:rPr>
              <w:t>11</w:t>
            </w:r>
          </w:p>
        </w:tc>
        <w:tc>
          <w:tcPr>
            <w:tcW w:w="1984" w:type="dxa"/>
            <w:noWrap w:val="0"/>
            <w:vAlign w:val="center"/>
          </w:tcPr>
          <w:p w14:paraId="7F4DC421">
            <w:pPr>
              <w:pStyle w:val="12"/>
              <w:widowControl w:val="0"/>
              <w:kinsoku/>
              <w:spacing w:line="560" w:lineRule="exact"/>
              <w:jc w:val="left"/>
              <w:rPr>
                <w:color w:val="auto"/>
                <w:sz w:val="21"/>
                <w:szCs w:val="21"/>
              </w:rPr>
            </w:pPr>
            <w:r>
              <w:rPr>
                <w:rFonts w:hint="eastAsia"/>
                <w:color w:val="auto"/>
                <w:sz w:val="21"/>
                <w:szCs w:val="21"/>
              </w:rPr>
              <w:t>钢结构工程施工查勘</w:t>
            </w:r>
          </w:p>
        </w:tc>
        <w:tc>
          <w:tcPr>
            <w:tcW w:w="7110" w:type="dxa"/>
            <w:tcBorders>
              <w:right w:val="single" w:color="000000" w:sz="10" w:space="0"/>
            </w:tcBorders>
            <w:noWrap w:val="0"/>
            <w:vAlign w:val="top"/>
          </w:tcPr>
          <w:p w14:paraId="396001CE">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1、深化设计复核</w:t>
            </w:r>
          </w:p>
          <w:p w14:paraId="389D7BC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2、材料加工；材料质检报告</w:t>
            </w:r>
          </w:p>
          <w:p w14:paraId="3315CD17">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3、现场安装质量：螺栓、焊缝、喷涂等</w:t>
            </w:r>
          </w:p>
        </w:tc>
      </w:tr>
      <w:tr w14:paraId="34A63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bottom w:val="single" w:color="000000" w:sz="10" w:space="0"/>
            </w:tcBorders>
            <w:noWrap w:val="0"/>
            <w:vAlign w:val="center"/>
          </w:tcPr>
          <w:p w14:paraId="6197B04F">
            <w:pPr>
              <w:pStyle w:val="12"/>
              <w:widowControl w:val="0"/>
              <w:kinsoku/>
              <w:spacing w:line="560" w:lineRule="exact"/>
              <w:jc w:val="center"/>
              <w:rPr>
                <w:color w:val="auto"/>
                <w:sz w:val="21"/>
                <w:szCs w:val="21"/>
              </w:rPr>
            </w:pPr>
            <w:r>
              <w:rPr>
                <w:rFonts w:hint="eastAsia"/>
                <w:color w:val="auto"/>
                <w:sz w:val="21"/>
                <w:szCs w:val="21"/>
              </w:rPr>
              <w:t>12</w:t>
            </w:r>
          </w:p>
        </w:tc>
        <w:tc>
          <w:tcPr>
            <w:tcW w:w="1984" w:type="dxa"/>
            <w:tcBorders>
              <w:bottom w:val="single" w:color="000000" w:sz="10" w:space="0"/>
            </w:tcBorders>
            <w:noWrap w:val="0"/>
            <w:vAlign w:val="center"/>
          </w:tcPr>
          <w:p w14:paraId="6154BC74">
            <w:pPr>
              <w:pStyle w:val="12"/>
              <w:widowControl w:val="0"/>
              <w:kinsoku/>
              <w:spacing w:line="560" w:lineRule="exact"/>
              <w:jc w:val="left"/>
              <w:rPr>
                <w:color w:val="auto"/>
                <w:sz w:val="21"/>
                <w:szCs w:val="21"/>
              </w:rPr>
            </w:pPr>
            <w:r>
              <w:rPr>
                <w:rFonts w:hint="eastAsia"/>
                <w:color w:val="auto"/>
                <w:sz w:val="21"/>
                <w:szCs w:val="21"/>
              </w:rPr>
              <w:t>预制构件工程查勘</w:t>
            </w:r>
          </w:p>
        </w:tc>
        <w:tc>
          <w:tcPr>
            <w:tcW w:w="7110" w:type="dxa"/>
            <w:tcBorders>
              <w:bottom w:val="single" w:color="000000" w:sz="10" w:space="0"/>
              <w:right w:val="single" w:color="000000" w:sz="10" w:space="0"/>
            </w:tcBorders>
            <w:noWrap w:val="0"/>
            <w:vAlign w:val="top"/>
          </w:tcPr>
          <w:p w14:paraId="259A5E12">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1、深化图纸、节点图审核</w:t>
            </w:r>
          </w:p>
          <w:p w14:paraId="78104B8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2、预制构件出厂质量报告，运输，安装前质量检查复测</w:t>
            </w:r>
          </w:p>
          <w:p w14:paraId="4509D027">
            <w:pPr>
              <w:pStyle w:val="12"/>
              <w:widowControl w:val="0"/>
              <w:kinsoku/>
              <w:spacing w:line="560" w:lineRule="exact"/>
              <w:ind w:left="525" w:leftChars="50" w:hanging="420" w:hangingChars="200"/>
              <w:rPr>
                <w:color w:val="auto"/>
                <w:sz w:val="21"/>
                <w:szCs w:val="21"/>
              </w:rPr>
            </w:pPr>
            <w:r>
              <w:rPr>
                <w:rFonts w:hint="eastAsia"/>
                <w:color w:val="auto"/>
                <w:sz w:val="21"/>
                <w:szCs w:val="21"/>
              </w:rPr>
              <w:t>3、安装节点复测</w:t>
            </w:r>
          </w:p>
        </w:tc>
      </w:tr>
      <w:tr w14:paraId="533E2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247B6A45">
            <w:pPr>
              <w:pStyle w:val="12"/>
              <w:widowControl w:val="0"/>
              <w:kinsoku/>
              <w:spacing w:line="560" w:lineRule="exact"/>
              <w:jc w:val="center"/>
              <w:rPr>
                <w:color w:val="auto"/>
                <w:sz w:val="21"/>
                <w:szCs w:val="21"/>
              </w:rPr>
            </w:pPr>
            <w:r>
              <w:rPr>
                <w:rFonts w:hint="eastAsia"/>
                <w:color w:val="auto"/>
                <w:sz w:val="21"/>
                <w:szCs w:val="21"/>
              </w:rPr>
              <w:t>13</w:t>
            </w:r>
          </w:p>
        </w:tc>
        <w:tc>
          <w:tcPr>
            <w:tcW w:w="1984" w:type="dxa"/>
            <w:noWrap w:val="0"/>
            <w:vAlign w:val="center"/>
          </w:tcPr>
          <w:p w14:paraId="0DE987EE">
            <w:pPr>
              <w:pStyle w:val="12"/>
              <w:widowControl w:val="0"/>
              <w:kinsoku/>
              <w:spacing w:line="560" w:lineRule="exact"/>
              <w:ind w:right="107" w:firstLine="79"/>
              <w:jc w:val="left"/>
              <w:rPr>
                <w:color w:val="auto"/>
                <w:sz w:val="21"/>
                <w:szCs w:val="21"/>
                <w:lang w:eastAsia="zh-CN"/>
              </w:rPr>
            </w:pPr>
            <w:r>
              <w:rPr>
                <w:rFonts w:hint="eastAsia"/>
                <w:color w:val="auto"/>
                <w:sz w:val="21"/>
                <w:szCs w:val="21"/>
                <w:lang w:eastAsia="zh-CN"/>
              </w:rPr>
              <w:t>厨卫防水工程施工查勘（包括材料检查，如防水涂料等）</w:t>
            </w:r>
          </w:p>
        </w:tc>
        <w:tc>
          <w:tcPr>
            <w:tcW w:w="7110" w:type="dxa"/>
            <w:tcBorders>
              <w:right w:val="single" w:color="000000" w:sz="10" w:space="0"/>
            </w:tcBorders>
            <w:noWrap w:val="0"/>
            <w:vAlign w:val="top"/>
          </w:tcPr>
          <w:p w14:paraId="3F1BEC5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1、检查防水材料产品合格证书</w:t>
            </w:r>
          </w:p>
          <w:p w14:paraId="7B1E7D08">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2、基层表面应平整，不得有空鼓、起砂、开裂等缺陷。基层含水率应符合防水材料的施工要求</w:t>
            </w:r>
          </w:p>
          <w:p w14:paraId="49548A7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3、防水层应从地面延伸到墙面，高出地面的高度符合要求。浴室墙面的防水层高度不得低于1800mm</w:t>
            </w:r>
          </w:p>
          <w:p w14:paraId="20646A0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4、涂膜防水层涂刷均匀，厚度满足产品技术规定的要求，一般厚度不少于1.5mm不露底</w:t>
            </w:r>
          </w:p>
          <w:p w14:paraId="009705D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5、涂膜表面不起泡、不流淌、平整无凹凸，与管件、洁具地脚、地漏、排水口接缝严密收头圆滑不渗漏</w:t>
            </w:r>
          </w:p>
          <w:p w14:paraId="3419A92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6、保护层水泥砂浆厚度、强度必须符合设计要求，操作时严禁破坏防水层，根据设计要求做好地面泛水坡度，排水要畅通、不得有积水倒坡现象</w:t>
            </w:r>
          </w:p>
          <w:p w14:paraId="5D7121E9">
            <w:pPr>
              <w:pStyle w:val="5"/>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7、蓄水检验：厨卫蓄水测试、屋面泼水测试、天沟蓄水测试、外墙淋水测试（应由施工单位或监理单位进行，风险管理</w:t>
            </w:r>
            <w:r>
              <w:rPr>
                <w:rFonts w:hint="eastAsia"/>
                <w:color w:val="auto"/>
                <w:sz w:val="21"/>
                <w:szCs w:val="21"/>
                <w:lang w:val="en-US" w:eastAsia="zh-CN"/>
              </w:rPr>
              <w:t>机构</w:t>
            </w:r>
            <w:r>
              <w:rPr>
                <w:rFonts w:hint="eastAsia"/>
                <w:color w:val="auto"/>
                <w:sz w:val="21"/>
                <w:szCs w:val="21"/>
                <w:lang w:eastAsia="zh-CN"/>
              </w:rPr>
              <w:t>检查测试过程和结果）</w:t>
            </w:r>
          </w:p>
        </w:tc>
      </w:tr>
      <w:tr w14:paraId="096F8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4C78F0F3">
            <w:pPr>
              <w:pStyle w:val="12"/>
              <w:widowControl w:val="0"/>
              <w:kinsoku/>
              <w:spacing w:line="560" w:lineRule="exact"/>
              <w:jc w:val="center"/>
              <w:rPr>
                <w:color w:val="auto"/>
                <w:sz w:val="21"/>
                <w:szCs w:val="21"/>
              </w:rPr>
            </w:pPr>
            <w:r>
              <w:rPr>
                <w:rFonts w:hint="eastAsia"/>
                <w:color w:val="auto"/>
                <w:sz w:val="21"/>
                <w:szCs w:val="21"/>
              </w:rPr>
              <w:t>14</w:t>
            </w:r>
          </w:p>
        </w:tc>
        <w:tc>
          <w:tcPr>
            <w:tcW w:w="1984" w:type="dxa"/>
            <w:noWrap w:val="0"/>
            <w:vAlign w:val="center"/>
          </w:tcPr>
          <w:p w14:paraId="07A965BB">
            <w:pPr>
              <w:pStyle w:val="12"/>
              <w:widowControl w:val="0"/>
              <w:kinsoku/>
              <w:spacing w:line="560" w:lineRule="exact"/>
              <w:jc w:val="left"/>
              <w:rPr>
                <w:color w:val="auto"/>
                <w:sz w:val="21"/>
                <w:szCs w:val="21"/>
              </w:rPr>
            </w:pPr>
            <w:r>
              <w:rPr>
                <w:rFonts w:hint="eastAsia"/>
                <w:color w:val="auto"/>
                <w:sz w:val="21"/>
                <w:szCs w:val="21"/>
              </w:rPr>
              <w:t>防水相关测试检查</w:t>
            </w:r>
          </w:p>
        </w:tc>
        <w:tc>
          <w:tcPr>
            <w:tcW w:w="7110" w:type="dxa"/>
            <w:tcBorders>
              <w:right w:val="single" w:color="000000" w:sz="10" w:space="0"/>
            </w:tcBorders>
            <w:noWrap w:val="0"/>
            <w:vAlign w:val="top"/>
          </w:tcPr>
          <w:p w14:paraId="022BF22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1、外墙淋水30分钟，观察是否存在渗漏等现象</w:t>
            </w:r>
          </w:p>
          <w:p w14:paraId="4ABDE12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2、屋面及平台上选择防水薄弱点（不同材料的连接处、伸缩缝、通风孔等）进行12小时淋水测试，观察是否存在渗漏现象</w:t>
            </w:r>
          </w:p>
          <w:p w14:paraId="0B4D8ECA">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3、卫生间做24小时蓄水试验，检查是否存在渗漏现象</w:t>
            </w:r>
          </w:p>
        </w:tc>
      </w:tr>
      <w:tr w14:paraId="7865C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bottom w:val="single" w:color="000000" w:sz="10" w:space="0"/>
            </w:tcBorders>
            <w:noWrap w:val="0"/>
            <w:vAlign w:val="center"/>
          </w:tcPr>
          <w:p w14:paraId="15B04FD8">
            <w:pPr>
              <w:pStyle w:val="12"/>
              <w:widowControl w:val="0"/>
              <w:kinsoku/>
              <w:spacing w:line="560" w:lineRule="exact"/>
              <w:jc w:val="center"/>
              <w:rPr>
                <w:color w:val="auto"/>
                <w:sz w:val="21"/>
                <w:szCs w:val="21"/>
              </w:rPr>
            </w:pPr>
            <w:r>
              <w:rPr>
                <w:rFonts w:hint="eastAsia"/>
                <w:color w:val="auto"/>
                <w:sz w:val="21"/>
                <w:szCs w:val="21"/>
              </w:rPr>
              <w:t>15</w:t>
            </w:r>
          </w:p>
        </w:tc>
        <w:tc>
          <w:tcPr>
            <w:tcW w:w="1984" w:type="dxa"/>
            <w:tcBorders>
              <w:bottom w:val="single" w:color="000000" w:sz="10" w:space="0"/>
            </w:tcBorders>
            <w:noWrap w:val="0"/>
            <w:vAlign w:val="center"/>
          </w:tcPr>
          <w:p w14:paraId="018ACEB0">
            <w:pPr>
              <w:pStyle w:val="12"/>
              <w:widowControl w:val="0"/>
              <w:kinsoku/>
              <w:spacing w:line="560" w:lineRule="exact"/>
              <w:jc w:val="left"/>
              <w:rPr>
                <w:color w:val="auto"/>
                <w:sz w:val="21"/>
                <w:szCs w:val="21"/>
              </w:rPr>
            </w:pPr>
            <w:r>
              <w:rPr>
                <w:rFonts w:hint="eastAsia"/>
                <w:color w:val="auto"/>
                <w:sz w:val="21"/>
                <w:szCs w:val="21"/>
              </w:rPr>
              <w:t>沉降观测结果审核</w:t>
            </w:r>
          </w:p>
        </w:tc>
        <w:tc>
          <w:tcPr>
            <w:tcW w:w="7110" w:type="dxa"/>
            <w:tcBorders>
              <w:bottom w:val="single" w:color="000000" w:sz="10" w:space="0"/>
              <w:right w:val="single" w:color="000000" w:sz="10" w:space="0"/>
            </w:tcBorders>
            <w:noWrap w:val="0"/>
            <w:vAlign w:val="top"/>
          </w:tcPr>
          <w:p w14:paraId="4CEBD369">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1、检查沉降观测方法、沉降观测周期和沉降观测时间是否合理</w:t>
            </w:r>
          </w:p>
          <w:p w14:paraId="3F589918">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2、检查部分</w:t>
            </w:r>
            <w:r>
              <w:rPr>
                <w:rFonts w:hint="eastAsia"/>
                <w:color w:val="auto"/>
                <w:sz w:val="21"/>
                <w:szCs w:val="21"/>
                <w:lang w:val="en-US" w:eastAsia="zh-CN"/>
              </w:rPr>
              <w:t>沉江</w:t>
            </w:r>
            <w:r>
              <w:rPr>
                <w:rFonts w:hint="eastAsia"/>
                <w:color w:val="auto"/>
                <w:sz w:val="21"/>
                <w:szCs w:val="21"/>
                <w:lang w:eastAsia="zh-CN"/>
              </w:rPr>
              <w:t>观测施工进度，并观察荷载量增加情况下的建筑物状态（是否出现倾斜、裂缝等各种影响沉降变化和异常的情况）</w:t>
            </w:r>
          </w:p>
          <w:p w14:paraId="5DEC6494">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根据测定标高及地基的沉降量、沉降差及沉降速度，计算基础倾斜、局部倾斜、相对弯曲及构件倾斜等当出现意外质量事件时出具本表，意外事件包括：质检机构签发整改通知书、监理签发工程暂停令、出现重大质量事故</w:t>
            </w:r>
          </w:p>
        </w:tc>
      </w:tr>
      <w:tr w14:paraId="6A468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166D0BC9">
            <w:pPr>
              <w:pStyle w:val="12"/>
              <w:widowControl w:val="0"/>
              <w:kinsoku/>
              <w:spacing w:line="560" w:lineRule="exact"/>
              <w:jc w:val="center"/>
              <w:rPr>
                <w:color w:val="auto"/>
                <w:sz w:val="21"/>
                <w:szCs w:val="21"/>
              </w:rPr>
            </w:pPr>
            <w:r>
              <w:rPr>
                <w:rFonts w:hint="eastAsia"/>
                <w:color w:val="auto"/>
                <w:sz w:val="21"/>
                <w:szCs w:val="21"/>
              </w:rPr>
              <w:t>16</w:t>
            </w:r>
          </w:p>
        </w:tc>
        <w:tc>
          <w:tcPr>
            <w:tcW w:w="1984" w:type="dxa"/>
            <w:noWrap w:val="0"/>
            <w:vAlign w:val="center"/>
          </w:tcPr>
          <w:p w14:paraId="0318222E">
            <w:pPr>
              <w:pStyle w:val="12"/>
              <w:widowControl w:val="0"/>
              <w:kinsoku/>
              <w:spacing w:line="560" w:lineRule="exact"/>
              <w:jc w:val="left"/>
              <w:rPr>
                <w:color w:val="auto"/>
                <w:sz w:val="21"/>
                <w:szCs w:val="21"/>
              </w:rPr>
            </w:pPr>
            <w:r>
              <w:rPr>
                <w:rFonts w:hint="eastAsia"/>
                <w:color w:val="auto"/>
                <w:sz w:val="21"/>
                <w:szCs w:val="21"/>
              </w:rPr>
              <w:t>意外事件审核</w:t>
            </w:r>
          </w:p>
        </w:tc>
        <w:tc>
          <w:tcPr>
            <w:tcW w:w="7110" w:type="dxa"/>
            <w:tcBorders>
              <w:right w:val="single" w:color="000000" w:sz="10" w:space="0"/>
            </w:tcBorders>
            <w:noWrap w:val="0"/>
            <w:vAlign w:val="top"/>
          </w:tcPr>
          <w:p w14:paraId="3786AE9B">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1、记载时间、事件过程、原因、整改要求、处理结果等</w:t>
            </w:r>
          </w:p>
          <w:p w14:paraId="1BEE98B9">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2、分析对该事件对质量情况的影响</w:t>
            </w:r>
          </w:p>
        </w:tc>
      </w:tr>
      <w:tr w14:paraId="4E13D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18E4DFA5">
            <w:pPr>
              <w:pStyle w:val="12"/>
              <w:widowControl w:val="0"/>
              <w:kinsoku/>
              <w:spacing w:line="560" w:lineRule="exact"/>
              <w:jc w:val="center"/>
              <w:rPr>
                <w:color w:val="auto"/>
                <w:sz w:val="21"/>
                <w:szCs w:val="21"/>
              </w:rPr>
            </w:pPr>
            <w:r>
              <w:rPr>
                <w:rFonts w:hint="eastAsia"/>
                <w:color w:val="auto"/>
                <w:sz w:val="21"/>
                <w:szCs w:val="21"/>
              </w:rPr>
              <w:t>17</w:t>
            </w:r>
          </w:p>
        </w:tc>
        <w:tc>
          <w:tcPr>
            <w:tcW w:w="1984" w:type="dxa"/>
            <w:noWrap w:val="0"/>
            <w:vAlign w:val="center"/>
          </w:tcPr>
          <w:p w14:paraId="15D00B20">
            <w:pPr>
              <w:pStyle w:val="12"/>
              <w:widowControl w:val="0"/>
              <w:kinsoku/>
              <w:spacing w:line="560" w:lineRule="exact"/>
              <w:jc w:val="left"/>
              <w:rPr>
                <w:color w:val="auto"/>
                <w:sz w:val="21"/>
                <w:szCs w:val="21"/>
              </w:rPr>
            </w:pPr>
            <w:r>
              <w:rPr>
                <w:rFonts w:hint="eastAsia"/>
                <w:color w:val="auto"/>
                <w:sz w:val="21"/>
                <w:szCs w:val="21"/>
              </w:rPr>
              <w:t>技术风险分析</w:t>
            </w:r>
          </w:p>
        </w:tc>
        <w:tc>
          <w:tcPr>
            <w:tcW w:w="7110" w:type="dxa"/>
            <w:tcBorders>
              <w:right w:val="single" w:color="000000" w:sz="10" w:space="0"/>
            </w:tcBorders>
            <w:noWrap w:val="0"/>
            <w:vAlign w:val="top"/>
          </w:tcPr>
          <w:p w14:paraId="44098DB7">
            <w:pPr>
              <w:pStyle w:val="12"/>
              <w:widowControl w:val="0"/>
              <w:kinsoku/>
              <w:spacing w:line="560" w:lineRule="exact"/>
              <w:ind w:left="105" w:leftChars="50"/>
              <w:rPr>
                <w:color w:val="auto"/>
                <w:sz w:val="21"/>
                <w:szCs w:val="21"/>
                <w:lang w:eastAsia="zh-CN"/>
              </w:rPr>
            </w:pPr>
            <w:r>
              <w:rPr>
                <w:rFonts w:hint="eastAsia"/>
                <w:color w:val="auto"/>
                <w:sz w:val="21"/>
                <w:szCs w:val="21"/>
                <w:lang w:eastAsia="zh-CN"/>
              </w:rPr>
              <w:t>对图纸会审、设计交底、技术核定、设计变更中的重要技术风险点出具此表</w:t>
            </w:r>
          </w:p>
          <w:p w14:paraId="3A570E36">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1、图纸会审：工程名称、时间、地点、参加人员、提出意见部位的图号、提出单位、提出意见、处理意见以及各方代表签字、盖章</w:t>
            </w:r>
          </w:p>
          <w:p w14:paraId="5CA4F871">
            <w:pPr>
              <w:pStyle w:val="12"/>
              <w:widowControl w:val="0"/>
              <w:kinsoku/>
              <w:spacing w:line="560" w:lineRule="exact"/>
              <w:ind w:left="525" w:leftChars="50" w:right="9" w:hanging="420" w:hangingChars="200"/>
              <w:jc w:val="left"/>
              <w:rPr>
                <w:color w:val="auto"/>
                <w:sz w:val="21"/>
                <w:szCs w:val="21"/>
                <w:lang w:eastAsia="zh-CN"/>
              </w:rPr>
            </w:pPr>
            <w:r>
              <w:rPr>
                <w:rFonts w:hint="eastAsia"/>
                <w:color w:val="auto"/>
                <w:sz w:val="21"/>
                <w:szCs w:val="21"/>
                <w:lang w:eastAsia="zh-CN"/>
              </w:rPr>
              <w:t>2、技术交底：记录施工项目的基本情况，工程特点，施工方法和应采取的措施，施工中的重点、难点，主要技术质量要求，主要注意事项，以及重点施工机具的准备和使用注意事项等</w:t>
            </w:r>
          </w:p>
          <w:p w14:paraId="7659649F">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3、技术核定单：记录工程名称、施工部位或图号、核定内容及相关单位审批意见</w:t>
            </w:r>
          </w:p>
          <w:p w14:paraId="50B9B0F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4、设计变更：记录变更工程名称、变更工程部位、变更部位图号、变更主要原因、变更内容详细描述及相关单位签字、盖章</w:t>
            </w:r>
          </w:p>
        </w:tc>
      </w:tr>
      <w:tr w14:paraId="10E4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tcBorders>
            <w:noWrap w:val="0"/>
            <w:vAlign w:val="center"/>
          </w:tcPr>
          <w:p w14:paraId="0062559B">
            <w:pPr>
              <w:pStyle w:val="12"/>
              <w:widowControl w:val="0"/>
              <w:kinsoku/>
              <w:spacing w:line="560" w:lineRule="exact"/>
              <w:jc w:val="center"/>
              <w:rPr>
                <w:color w:val="auto"/>
                <w:sz w:val="21"/>
                <w:szCs w:val="21"/>
              </w:rPr>
            </w:pPr>
            <w:r>
              <w:rPr>
                <w:rFonts w:hint="eastAsia"/>
                <w:color w:val="auto"/>
                <w:sz w:val="21"/>
                <w:szCs w:val="21"/>
              </w:rPr>
              <w:t>18</w:t>
            </w:r>
          </w:p>
        </w:tc>
        <w:tc>
          <w:tcPr>
            <w:tcW w:w="1984" w:type="dxa"/>
            <w:noWrap w:val="0"/>
            <w:vAlign w:val="center"/>
          </w:tcPr>
          <w:p w14:paraId="31F8F6CF">
            <w:pPr>
              <w:pStyle w:val="12"/>
              <w:widowControl w:val="0"/>
              <w:kinsoku/>
              <w:spacing w:line="560" w:lineRule="exact"/>
              <w:jc w:val="left"/>
              <w:rPr>
                <w:color w:val="auto"/>
                <w:sz w:val="21"/>
                <w:szCs w:val="21"/>
              </w:rPr>
            </w:pPr>
            <w:r>
              <w:rPr>
                <w:rFonts w:hint="eastAsia"/>
                <w:color w:val="auto"/>
                <w:sz w:val="21"/>
                <w:szCs w:val="21"/>
              </w:rPr>
              <w:t>后浇带保护查勘</w:t>
            </w:r>
          </w:p>
        </w:tc>
        <w:tc>
          <w:tcPr>
            <w:tcW w:w="7110" w:type="dxa"/>
            <w:tcBorders>
              <w:right w:val="single" w:color="000000" w:sz="10" w:space="0"/>
            </w:tcBorders>
            <w:noWrap w:val="0"/>
            <w:vAlign w:val="top"/>
          </w:tcPr>
          <w:p w14:paraId="6B1CEDB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1、后浇带保护，有无浮渣，止水钢板埋置质量</w:t>
            </w:r>
          </w:p>
          <w:p w14:paraId="2D340BC9">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2、后浇带模板支撑、钢筋保护</w:t>
            </w:r>
          </w:p>
        </w:tc>
      </w:tr>
      <w:tr w14:paraId="7DF0B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585" w:type="dxa"/>
            <w:tcBorders>
              <w:left w:val="single" w:color="000000" w:sz="10" w:space="0"/>
              <w:bottom w:val="single" w:color="000000" w:sz="10" w:space="0"/>
            </w:tcBorders>
            <w:noWrap w:val="0"/>
            <w:vAlign w:val="center"/>
          </w:tcPr>
          <w:p w14:paraId="1B1FCA8B">
            <w:pPr>
              <w:pStyle w:val="12"/>
              <w:widowControl w:val="0"/>
              <w:kinsoku/>
              <w:spacing w:line="560" w:lineRule="exact"/>
              <w:jc w:val="center"/>
              <w:rPr>
                <w:color w:val="auto"/>
                <w:sz w:val="21"/>
                <w:szCs w:val="21"/>
              </w:rPr>
            </w:pPr>
            <w:r>
              <w:rPr>
                <w:rFonts w:hint="eastAsia"/>
                <w:color w:val="auto"/>
                <w:sz w:val="21"/>
                <w:szCs w:val="21"/>
              </w:rPr>
              <w:t>19</w:t>
            </w:r>
          </w:p>
        </w:tc>
        <w:tc>
          <w:tcPr>
            <w:tcW w:w="1984" w:type="dxa"/>
            <w:tcBorders>
              <w:bottom w:val="single" w:color="000000" w:sz="10" w:space="0"/>
            </w:tcBorders>
            <w:noWrap w:val="0"/>
            <w:vAlign w:val="center"/>
          </w:tcPr>
          <w:p w14:paraId="013EABB9">
            <w:pPr>
              <w:pStyle w:val="12"/>
              <w:widowControl w:val="0"/>
              <w:kinsoku/>
              <w:spacing w:line="560" w:lineRule="exact"/>
              <w:jc w:val="left"/>
              <w:rPr>
                <w:color w:val="auto"/>
                <w:sz w:val="21"/>
                <w:szCs w:val="21"/>
              </w:rPr>
            </w:pPr>
            <w:r>
              <w:rPr>
                <w:rFonts w:hint="eastAsia"/>
                <w:color w:val="auto"/>
                <w:sz w:val="21"/>
                <w:szCs w:val="21"/>
              </w:rPr>
              <w:t>其他日常内容</w:t>
            </w:r>
          </w:p>
        </w:tc>
        <w:tc>
          <w:tcPr>
            <w:tcW w:w="7110" w:type="dxa"/>
            <w:tcBorders>
              <w:bottom w:val="single" w:color="000000" w:sz="10" w:space="0"/>
              <w:right w:val="single" w:color="000000" w:sz="10" w:space="0"/>
            </w:tcBorders>
            <w:noWrap w:val="0"/>
            <w:vAlign w:val="top"/>
          </w:tcPr>
          <w:p w14:paraId="1F9AA89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工作联系单、工作日志等</w:t>
            </w:r>
          </w:p>
          <w:p w14:paraId="42688BB3">
            <w:pPr>
              <w:pStyle w:val="12"/>
              <w:widowControl w:val="0"/>
              <w:kinsoku/>
              <w:spacing w:line="560" w:lineRule="exact"/>
              <w:ind w:left="525" w:leftChars="50" w:hanging="420" w:hangingChars="200"/>
              <w:rPr>
                <w:color w:val="auto"/>
                <w:sz w:val="21"/>
                <w:szCs w:val="21"/>
                <w:lang w:eastAsia="zh-CN"/>
              </w:rPr>
            </w:pPr>
            <w:r>
              <w:rPr>
                <w:rFonts w:hint="eastAsia"/>
                <w:color w:val="auto"/>
                <w:sz w:val="21"/>
                <w:szCs w:val="21"/>
                <w:lang w:eastAsia="zh-CN"/>
              </w:rPr>
              <w:t>记录工程名称、地点、日期、原因、详细内容描述以及各方签字</w:t>
            </w:r>
          </w:p>
        </w:tc>
      </w:tr>
    </w:tbl>
    <w:p w14:paraId="0326FA21">
      <w:pPr>
        <w:pStyle w:val="4"/>
        <w:spacing w:line="560" w:lineRule="exact"/>
        <w:rPr>
          <w:rFonts w:hint="eastAsia" w:ascii="仿宋" w:hAnsi="仿宋" w:eastAsia="仿宋" w:cs="仿宋"/>
          <w:lang w:eastAsia="zh-CN"/>
        </w:rPr>
      </w:pPr>
      <w:r>
        <w:rPr>
          <w:rFonts w:hint="eastAsia" w:ascii="仿宋" w:hAnsi="仿宋" w:eastAsia="仿宋" w:cs="仿宋"/>
          <w:lang w:eastAsia="zh-CN"/>
        </w:rPr>
        <w:t>4.7档案管理</w:t>
      </w:r>
    </w:p>
    <w:p w14:paraId="4AF1AF25">
      <w:pPr>
        <w:pStyle w:val="10"/>
        <w:spacing w:line="560" w:lineRule="exact"/>
        <w:ind w:firstLine="420"/>
        <w:rPr>
          <w:rFonts w:hint="eastAsia" w:ascii="仿宋" w:hAnsi="仿宋" w:eastAsia="仿宋" w:cs="仿宋"/>
        </w:rPr>
      </w:pPr>
      <w:r>
        <w:rPr>
          <w:rFonts w:hint="eastAsia" w:ascii="仿宋" w:hAnsi="仿宋" w:eastAsia="仿宋" w:cs="仿宋"/>
          <w:lang w:val="en-US"/>
        </w:rPr>
        <w:t>4.7.1</w:t>
      </w:r>
      <w:r>
        <w:rPr>
          <w:rFonts w:hint="eastAsia" w:ascii="仿宋" w:hAnsi="仿宋" w:eastAsia="仿宋" w:cs="仿宋"/>
        </w:rPr>
        <w:t>风险管理机构应按照“一项目一档案”要求，建立项目风险管理档案文件管理与保管制度。</w:t>
      </w:r>
    </w:p>
    <w:p w14:paraId="01D8783E">
      <w:pPr>
        <w:pStyle w:val="10"/>
        <w:spacing w:line="560" w:lineRule="exact"/>
        <w:ind w:firstLine="420"/>
        <w:rPr>
          <w:rFonts w:hint="eastAsia" w:ascii="仿宋" w:hAnsi="仿宋" w:eastAsia="仿宋" w:cs="仿宋"/>
        </w:rPr>
      </w:pPr>
      <w:r>
        <w:rPr>
          <w:rFonts w:hint="eastAsia" w:ascii="仿宋" w:hAnsi="仿宋" w:eastAsia="仿宋" w:cs="仿宋"/>
          <w:lang w:val="en-US"/>
        </w:rPr>
        <w:t>4.7.2</w:t>
      </w:r>
      <w:r>
        <w:rPr>
          <w:rFonts w:hint="eastAsia" w:ascii="仿宋" w:hAnsi="仿宋" w:eastAsia="仿宋" w:cs="仿宋"/>
        </w:rPr>
        <w:t>质量风险管理档案应包括以下内容：</w:t>
      </w:r>
    </w:p>
    <w:p w14:paraId="5CCACDE2">
      <w:pPr>
        <w:pStyle w:val="10"/>
        <w:numPr>
          <w:ilvl w:val="0"/>
          <w:numId w:val="15"/>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项目设计技术文件；</w:t>
      </w:r>
    </w:p>
    <w:p w14:paraId="02F0DCC4">
      <w:pPr>
        <w:pStyle w:val="10"/>
        <w:numPr>
          <w:ilvl w:val="0"/>
          <w:numId w:val="15"/>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各类风险检查/分析/评估/检测报告；</w:t>
      </w:r>
    </w:p>
    <w:p w14:paraId="1848C23B">
      <w:pPr>
        <w:pStyle w:val="10"/>
        <w:numPr>
          <w:ilvl w:val="0"/>
          <w:numId w:val="15"/>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竣工图；</w:t>
      </w:r>
    </w:p>
    <w:p w14:paraId="5D93CDAA">
      <w:pPr>
        <w:pStyle w:val="10"/>
        <w:numPr>
          <w:ilvl w:val="0"/>
          <w:numId w:val="15"/>
        </w:numPr>
        <w:tabs>
          <w:tab w:val="clear" w:pos="1415"/>
        </w:tabs>
        <w:spacing w:line="560" w:lineRule="exact"/>
        <w:ind w:left="425" w:hanging="5" w:firstLineChars="0"/>
        <w:rPr>
          <w:rFonts w:hint="eastAsia" w:ascii="仿宋" w:hAnsi="仿宋" w:eastAsia="仿宋" w:cs="仿宋"/>
        </w:rPr>
      </w:pPr>
      <w:r>
        <w:rPr>
          <w:rFonts w:hint="eastAsia" w:ascii="仿宋" w:hAnsi="仿宋" w:eastAsia="仿宋" w:cs="仿宋"/>
        </w:rPr>
        <w:t>施工过程的质量证明资料。</w:t>
      </w:r>
    </w:p>
    <w:p w14:paraId="430F93EA">
      <w:pPr>
        <w:pStyle w:val="10"/>
        <w:spacing w:line="560" w:lineRule="exact"/>
        <w:ind w:firstLine="420"/>
        <w:rPr>
          <w:rFonts w:hint="eastAsia" w:ascii="仿宋" w:hAnsi="仿宋" w:eastAsia="仿宋" w:cs="仿宋"/>
        </w:rPr>
      </w:pPr>
      <w:r>
        <w:rPr>
          <w:rFonts w:hint="eastAsia" w:ascii="仿宋" w:hAnsi="仿宋" w:eastAsia="仿宋" w:cs="仿宋"/>
          <w:lang w:val="en-US"/>
        </w:rPr>
        <w:t>4.7.3</w:t>
      </w:r>
      <w:r>
        <w:rPr>
          <w:rFonts w:hint="eastAsia" w:ascii="仿宋" w:hAnsi="仿宋" w:eastAsia="仿宋" w:cs="仿宋"/>
        </w:rPr>
        <w:t>质量风险管理档案保管期限应为项目竣工备案后15年，风险管理机构与主承保公司分别留存保管（风险管理机构在保单赔偿</w:t>
      </w:r>
      <w:r>
        <w:rPr>
          <w:rFonts w:hint="eastAsia" w:ascii="仿宋" w:hAnsi="仿宋" w:eastAsia="仿宋" w:cs="仿宋"/>
          <w:lang w:eastAsia="zh-CN"/>
        </w:rPr>
        <w:t>责任</w:t>
      </w:r>
      <w:r>
        <w:rPr>
          <w:rFonts w:hint="eastAsia" w:ascii="仿宋" w:hAnsi="仿宋" w:eastAsia="仿宋" w:cs="仿宋"/>
        </w:rPr>
        <w:t>期前15个工作日将档案文件提交主承保公司）。</w:t>
      </w:r>
    </w:p>
    <w:p w14:paraId="6062E8D7">
      <w:pPr>
        <w:pStyle w:val="10"/>
        <w:spacing w:line="560" w:lineRule="exact"/>
        <w:ind w:firstLine="420"/>
        <w:rPr>
          <w:rFonts w:hint="eastAsia" w:ascii="仿宋" w:hAnsi="仿宋" w:eastAsia="仿宋" w:cs="仿宋"/>
        </w:rPr>
      </w:pPr>
      <w:r>
        <w:rPr>
          <w:rFonts w:hint="eastAsia" w:ascii="仿宋" w:hAnsi="仿宋" w:eastAsia="仿宋" w:cs="仿宋"/>
          <w:lang w:val="en-US"/>
        </w:rPr>
        <w:t>4.7.4</w:t>
      </w:r>
      <w:r>
        <w:rPr>
          <w:rFonts w:hint="eastAsia" w:ascii="仿宋" w:hAnsi="仿宋" w:eastAsia="仿宋" w:cs="仿宋"/>
        </w:rPr>
        <w:t>已投保建设工程进入理赔期后，风险管理机构宜开展风险管理档案文件利用工作，结合项目重大理赔案例，调阅风险管理档案文件，分析理赔案例技术，为主承保公司提供咨询服务。</w:t>
      </w:r>
    </w:p>
    <w:p w14:paraId="0773BD25">
      <w:pPr>
        <w:pStyle w:val="10"/>
        <w:spacing w:line="560" w:lineRule="exact"/>
        <w:ind w:firstLine="420"/>
        <w:rPr>
          <w:rFonts w:hint="eastAsia" w:ascii="仿宋" w:hAnsi="仿宋" w:eastAsia="仿宋" w:cs="仿宋"/>
        </w:rPr>
      </w:pPr>
      <w:r>
        <w:rPr>
          <w:rFonts w:hint="eastAsia" w:ascii="仿宋" w:hAnsi="仿宋" w:eastAsia="仿宋" w:cs="仿宋"/>
          <w:lang w:val="en-US"/>
        </w:rPr>
        <w:t>4.7.5</w:t>
      </w:r>
      <w:r>
        <w:rPr>
          <w:rFonts w:hint="eastAsia" w:ascii="仿宋" w:hAnsi="仿宋" w:eastAsia="仿宋" w:cs="仿宋"/>
        </w:rPr>
        <w:t>鼓励风险管理机构采取信息化手段进行档案文件管理。</w:t>
      </w:r>
    </w:p>
    <w:p w14:paraId="7F13FB99">
      <w:pPr>
        <w:kinsoku/>
        <w:spacing w:line="560" w:lineRule="exact"/>
        <w:rPr>
          <w:rFonts w:hint="eastAsia" w:ascii="仿宋" w:hAnsi="仿宋" w:eastAsia="仿宋" w:cs="仿宋"/>
          <w:color w:val="auto"/>
          <w:lang w:eastAsia="zh-CN"/>
        </w:rPr>
        <w:sectPr>
          <w:footerReference r:id="rId6" w:type="default"/>
          <w:pgSz w:w="11906" w:h="16838"/>
          <w:pgMar w:top="1440" w:right="1800" w:bottom="1440" w:left="1800" w:header="851" w:footer="992" w:gutter="0"/>
          <w:pgNumType w:start="1"/>
          <w:cols w:space="720" w:num="1"/>
          <w:docGrid w:type="lines" w:linePitch="312" w:charSpace="0"/>
        </w:sectPr>
      </w:pPr>
    </w:p>
    <w:p w14:paraId="6B373BC0">
      <w:pPr>
        <w:pStyle w:val="3"/>
        <w:rPr>
          <w:lang w:eastAsia="zh-CN"/>
        </w:rPr>
      </w:pPr>
      <w:r>
        <w:rPr>
          <w:rFonts w:hint="eastAsia"/>
          <w:lang w:eastAsia="zh-CN"/>
        </w:rPr>
        <w:t>附录</w:t>
      </w:r>
      <w:r>
        <w:rPr>
          <w:rFonts w:hint="eastAsia"/>
          <w:lang w:val="en-US" w:eastAsia="zh-CN"/>
        </w:rPr>
        <w:t>A</w:t>
      </w:r>
      <w:r>
        <w:rPr>
          <w:rFonts w:hint="eastAsia"/>
          <w:lang w:eastAsia="zh-CN"/>
        </w:rPr>
        <w:t>项目风险管理团队关键岗位履职管理要求</w:t>
      </w:r>
    </w:p>
    <w:p w14:paraId="4EC3BF29">
      <w:pPr>
        <w:pStyle w:val="5"/>
        <w:kinsoku/>
        <w:adjustRightInd/>
        <w:snapToGrid/>
        <w:spacing w:line="360" w:lineRule="auto"/>
        <w:ind w:firstLine="480"/>
        <w:textAlignment w:val="auto"/>
        <w:rPr>
          <w:color w:val="auto"/>
          <w:sz w:val="24"/>
          <w:szCs w:val="24"/>
          <w:lang w:eastAsia="zh-CN"/>
        </w:rPr>
      </w:pPr>
    </w:p>
    <w:p w14:paraId="66781791">
      <w:pPr>
        <w:pStyle w:val="5"/>
        <w:kinsoku/>
        <w:adjustRightInd/>
        <w:snapToGrid/>
        <w:spacing w:line="360" w:lineRule="auto"/>
        <w:ind w:firstLine="0" w:firstLineChars="0"/>
        <w:jc w:val="center"/>
        <w:textAlignment w:val="auto"/>
        <w:rPr>
          <w:color w:val="auto"/>
          <w:sz w:val="24"/>
          <w:szCs w:val="24"/>
          <w:lang w:eastAsia="zh-CN"/>
        </w:rPr>
      </w:pPr>
      <w:r>
        <w:rPr>
          <w:rFonts w:hint="eastAsia"/>
          <w:b/>
          <w:bCs/>
          <w:color w:val="auto"/>
          <w:szCs w:val="32"/>
          <w:lang w:eastAsia="zh-CN"/>
        </w:rPr>
        <w:t>项目风险管理团队关键岗位履职管理要求</w:t>
      </w:r>
    </w:p>
    <w:p w14:paraId="65F87B39">
      <w:pPr>
        <w:kinsoku/>
        <w:adjustRightInd/>
        <w:snapToGrid/>
        <w:spacing w:line="360" w:lineRule="auto"/>
        <w:ind w:firstLine="482" w:firstLineChars="200"/>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一、人员考勤范围</w:t>
      </w:r>
    </w:p>
    <w:p w14:paraId="11E1B206">
      <w:pPr>
        <w:widowControl w:val="0"/>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项目风险管理团队关键岗位包括项目负责人和风险管理工程师，关键岗位成员参与打卡，计入考勤时长。</w:t>
      </w:r>
    </w:p>
    <w:p w14:paraId="2A885C9C">
      <w:pPr>
        <w:widowControl w:val="0"/>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1、项目负责人考勤：</w:t>
      </w:r>
    </w:p>
    <w:p w14:paraId="6E2288E5">
      <w:pPr>
        <w:pStyle w:val="10"/>
        <w:numPr>
          <w:ilvl w:val="0"/>
          <w:numId w:val="16"/>
        </w:numPr>
        <w:tabs>
          <w:tab w:val="clear" w:pos="1415"/>
        </w:tabs>
        <w:ind w:left="425" w:hanging="5" w:firstLineChars="0"/>
        <w:rPr>
          <w:rFonts w:hint="eastAsia" w:ascii="仿宋" w:hAnsi="仿宋" w:eastAsia="仿宋" w:cs="仿宋"/>
        </w:rPr>
      </w:pPr>
      <w:r>
        <w:rPr>
          <w:rFonts w:hint="eastAsia" w:ascii="仿宋" w:hAnsi="仿宋" w:eastAsia="仿宋" w:cs="仿宋"/>
        </w:rPr>
        <w:t>每个项目需预设</w:t>
      </w:r>
      <w:r>
        <w:rPr>
          <w:rFonts w:hint="eastAsia" w:ascii="仿宋" w:hAnsi="仿宋" w:eastAsia="仿宋" w:cs="仿宋"/>
          <w:lang w:eastAsia="zh-CN"/>
        </w:rPr>
        <w:t>项目负责人</w:t>
      </w:r>
      <w:r>
        <w:rPr>
          <w:rFonts w:hint="eastAsia" w:ascii="仿宋" w:hAnsi="仿宋" w:eastAsia="仿宋" w:cs="仿宋"/>
        </w:rPr>
        <w:t>须满足</w:t>
      </w:r>
      <w:r>
        <w:rPr>
          <w:rFonts w:hint="eastAsia" w:ascii="仿宋" w:hAnsi="仿宋" w:eastAsia="仿宋" w:cs="仿宋"/>
          <w:lang w:eastAsia="zh-CN"/>
        </w:rPr>
        <w:t>项目负责人</w:t>
      </w:r>
      <w:r>
        <w:rPr>
          <w:rFonts w:hint="eastAsia" w:ascii="仿宋" w:hAnsi="仿宋" w:eastAsia="仿宋" w:cs="仿宋"/>
        </w:rPr>
        <w:t>的资质要求；</w:t>
      </w:r>
    </w:p>
    <w:p w14:paraId="0FBBD1B3">
      <w:pPr>
        <w:pStyle w:val="10"/>
        <w:numPr>
          <w:ilvl w:val="0"/>
          <w:numId w:val="16"/>
        </w:numPr>
        <w:tabs>
          <w:tab w:val="clear" w:pos="1415"/>
        </w:tabs>
        <w:ind w:left="425" w:hanging="5" w:firstLineChars="0"/>
        <w:rPr>
          <w:rFonts w:hint="eastAsia" w:ascii="仿宋" w:hAnsi="仿宋" w:eastAsia="仿宋" w:cs="仿宋"/>
        </w:rPr>
      </w:pPr>
      <w:r>
        <w:rPr>
          <w:rFonts w:hint="eastAsia" w:ascii="仿宋" w:hAnsi="仿宋" w:eastAsia="仿宋" w:cs="仿宋"/>
        </w:rPr>
        <w:t>对于单个项目，累计出勤率须保证100%</w:t>
      </w:r>
      <w:r>
        <w:rPr>
          <w:rFonts w:hint="eastAsia" w:ascii="仿宋" w:hAnsi="仿宋" w:eastAsia="仿宋" w:cs="仿宋"/>
          <w:lang w:eastAsia="zh-CN"/>
        </w:rPr>
        <w:t>，</w:t>
      </w:r>
      <w:r>
        <w:rPr>
          <w:rFonts w:hint="eastAsia" w:ascii="仿宋" w:hAnsi="仿宋" w:eastAsia="仿宋" w:cs="仿宋"/>
        </w:rPr>
        <w:t>如存在特殊情况，需</w:t>
      </w:r>
      <w:r>
        <w:rPr>
          <w:rFonts w:hint="eastAsia" w:ascii="仿宋" w:hAnsi="仿宋" w:eastAsia="仿宋" w:cs="仿宋"/>
          <w:lang w:val="en-US" w:eastAsia="zh-CN"/>
        </w:rPr>
        <w:t>提前</w:t>
      </w:r>
      <w:r>
        <w:rPr>
          <w:rFonts w:hint="eastAsia" w:ascii="仿宋" w:hAnsi="仿宋" w:eastAsia="仿宋" w:cs="仿宋"/>
        </w:rPr>
        <w:t>征得保险公司同意；</w:t>
      </w:r>
    </w:p>
    <w:p w14:paraId="3FB7E1F8">
      <w:pPr>
        <w:pStyle w:val="10"/>
        <w:numPr>
          <w:ilvl w:val="0"/>
          <w:numId w:val="16"/>
        </w:numPr>
        <w:tabs>
          <w:tab w:val="clear" w:pos="1415"/>
        </w:tabs>
        <w:ind w:left="425" w:hanging="5" w:firstLineChars="0"/>
        <w:rPr>
          <w:rFonts w:hint="eastAsia" w:ascii="仿宋" w:hAnsi="仿宋" w:eastAsia="仿宋" w:cs="仿宋"/>
        </w:rPr>
      </w:pPr>
      <w:r>
        <w:rPr>
          <w:rFonts w:hint="eastAsia" w:ascii="仿宋" w:hAnsi="仿宋" w:eastAsia="仿宋" w:cs="仿宋"/>
        </w:rPr>
        <w:t>风险管理机构如果变更检查计划，须经主承保公司审批同意。</w:t>
      </w:r>
    </w:p>
    <w:p w14:paraId="26F22ED0">
      <w:pPr>
        <w:widowControl w:val="0"/>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2、风险管理工程师考勤：</w:t>
      </w:r>
    </w:p>
    <w:p w14:paraId="74E79CB3">
      <w:pPr>
        <w:pStyle w:val="10"/>
        <w:numPr>
          <w:ilvl w:val="0"/>
          <w:numId w:val="17"/>
        </w:numPr>
        <w:tabs>
          <w:tab w:val="clear" w:pos="1415"/>
        </w:tabs>
        <w:ind w:left="425" w:hanging="5" w:firstLineChars="0"/>
        <w:rPr>
          <w:rFonts w:hint="eastAsia" w:ascii="仿宋" w:hAnsi="仿宋" w:eastAsia="仿宋" w:cs="仿宋"/>
        </w:rPr>
      </w:pPr>
      <w:r>
        <w:rPr>
          <w:rFonts w:hint="eastAsia" w:ascii="仿宋" w:hAnsi="仿宋" w:eastAsia="仿宋" w:cs="仿宋"/>
        </w:rPr>
        <w:t>每个风险管理工程师检查次数每月不得超过40次；</w:t>
      </w:r>
    </w:p>
    <w:p w14:paraId="52469168">
      <w:pPr>
        <w:pStyle w:val="10"/>
        <w:numPr>
          <w:ilvl w:val="0"/>
          <w:numId w:val="17"/>
        </w:numPr>
        <w:tabs>
          <w:tab w:val="clear" w:pos="1415"/>
        </w:tabs>
        <w:ind w:left="425" w:hanging="5" w:firstLineChars="0"/>
        <w:rPr>
          <w:rFonts w:hint="eastAsia" w:ascii="仿宋" w:hAnsi="仿宋" w:eastAsia="仿宋" w:cs="仿宋"/>
        </w:rPr>
      </w:pPr>
      <w:r>
        <w:rPr>
          <w:rFonts w:hint="eastAsia" w:ascii="仿宋" w:hAnsi="仿宋" w:eastAsia="仿宋" w:cs="仿宋"/>
        </w:rPr>
        <w:t>月度工作计划人力安排必须和每月考勤记录相匹配；</w:t>
      </w:r>
    </w:p>
    <w:p w14:paraId="3D082923">
      <w:pPr>
        <w:pStyle w:val="10"/>
        <w:numPr>
          <w:ilvl w:val="0"/>
          <w:numId w:val="17"/>
        </w:numPr>
        <w:tabs>
          <w:tab w:val="clear" w:pos="1415"/>
        </w:tabs>
        <w:ind w:left="425" w:hanging="5" w:firstLineChars="0"/>
        <w:rPr>
          <w:rFonts w:hint="eastAsia" w:ascii="仿宋" w:hAnsi="仿宋" w:eastAsia="仿宋" w:cs="仿宋"/>
        </w:rPr>
      </w:pPr>
      <w:r>
        <w:rPr>
          <w:rFonts w:hint="eastAsia" w:ascii="仿宋" w:hAnsi="仿宋" w:eastAsia="仿宋" w:cs="仿宋"/>
        </w:rPr>
        <w:t>同一时间段不得重复安排不同项目的检查工作。</w:t>
      </w:r>
    </w:p>
    <w:p w14:paraId="3B69C11E">
      <w:pPr>
        <w:kinsoku/>
        <w:adjustRightInd/>
        <w:snapToGrid/>
        <w:spacing w:line="360" w:lineRule="auto"/>
        <w:ind w:firstLine="482" w:firstLineChars="200"/>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二、检查项目数量</w:t>
      </w:r>
    </w:p>
    <w:p w14:paraId="6C5C667B">
      <w:pPr>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风险管理团队成员每天检查的项目数不得多于两个。</w:t>
      </w:r>
    </w:p>
    <w:p w14:paraId="763B1FDC">
      <w:pPr>
        <w:kinsoku/>
        <w:adjustRightInd/>
        <w:snapToGrid/>
        <w:spacing w:line="360" w:lineRule="auto"/>
        <w:ind w:firstLine="482" w:firstLineChars="200"/>
        <w:textAlignment w:val="auto"/>
        <w:rPr>
          <w:rFonts w:ascii="仿宋" w:hAnsi="仿宋" w:eastAsia="仿宋" w:cs="仿宋"/>
          <w:b/>
          <w:bCs/>
          <w:color w:val="auto"/>
          <w:sz w:val="24"/>
          <w:szCs w:val="24"/>
          <w:lang w:eastAsia="zh-CN"/>
        </w:rPr>
      </w:pPr>
      <w:r>
        <w:rPr>
          <w:rFonts w:hint="eastAsia" w:ascii="仿宋" w:hAnsi="仿宋" w:eastAsia="仿宋" w:cs="仿宋"/>
          <w:b/>
          <w:bCs/>
          <w:color w:val="auto"/>
          <w:sz w:val="24"/>
          <w:szCs w:val="24"/>
          <w:lang w:eastAsia="zh-CN"/>
        </w:rPr>
        <w:t>三、现场考勤时间</w:t>
      </w:r>
    </w:p>
    <w:p w14:paraId="612BFCBC">
      <w:pPr>
        <w:kinsoku/>
        <w:adjustRightInd/>
        <w:snapToGrid/>
        <w:spacing w:line="360" w:lineRule="auto"/>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夏令时每天考勤时间为7:00~19:00，其他时间段每天考勤时间为8:00~18:00，超出该时间段打卡则为考勤异常，需风险管理机构提供情况说明。</w:t>
      </w:r>
    </w:p>
    <w:p w14:paraId="268592F7">
      <w:pPr>
        <w:pStyle w:val="5"/>
        <w:kinsoku/>
        <w:adjustRightInd/>
        <w:snapToGrid/>
        <w:spacing w:line="360" w:lineRule="auto"/>
        <w:ind w:firstLine="480"/>
        <w:textAlignment w:val="auto"/>
        <w:rPr>
          <w:color w:val="auto"/>
          <w:sz w:val="24"/>
          <w:szCs w:val="24"/>
          <w:lang w:eastAsia="zh-CN"/>
        </w:rPr>
      </w:pPr>
    </w:p>
    <w:p w14:paraId="52397550">
      <w:pPr>
        <w:kinsoku/>
        <w:rPr>
          <w:rFonts w:ascii="仿宋" w:hAnsi="仿宋" w:eastAsia="仿宋" w:cs="仿宋"/>
          <w:color w:val="auto"/>
          <w:sz w:val="24"/>
          <w:szCs w:val="24"/>
          <w:lang w:eastAsia="zh-CN"/>
        </w:rPr>
      </w:pPr>
    </w:p>
    <w:p w14:paraId="288DA337">
      <w:pPr>
        <w:kinsoku/>
        <w:adjustRightInd/>
        <w:snapToGrid/>
        <w:spacing w:line="360" w:lineRule="auto"/>
        <w:ind w:firstLine="480" w:firstLineChars="200"/>
        <w:jc w:val="center"/>
        <w:textAlignment w:val="auto"/>
        <w:rPr>
          <w:rFonts w:ascii="仿宋" w:hAnsi="仿宋" w:eastAsia="仿宋" w:cs="仿宋"/>
          <w:color w:val="auto"/>
          <w:sz w:val="24"/>
          <w:szCs w:val="24"/>
          <w:lang w:eastAsia="zh-CN"/>
        </w:rPr>
        <w:sectPr>
          <w:headerReference r:id="rId7" w:type="default"/>
          <w:footerReference r:id="rId8" w:type="default"/>
          <w:pgSz w:w="11900" w:h="16820"/>
          <w:pgMar w:top="1080" w:right="1440" w:bottom="1080" w:left="1440" w:header="0" w:footer="1134" w:gutter="0"/>
          <w:cols w:space="720" w:num="1"/>
        </w:sectPr>
      </w:pPr>
    </w:p>
    <w:p w14:paraId="213EDC17">
      <w:pPr>
        <w:pStyle w:val="3"/>
        <w:rPr>
          <w:lang w:eastAsia="zh-CN"/>
        </w:rPr>
      </w:pPr>
      <w:r>
        <w:rPr>
          <w:rFonts w:hint="eastAsia"/>
          <w:lang w:eastAsia="zh-CN"/>
        </w:rPr>
        <w:t>附录</w:t>
      </w:r>
      <w:r>
        <w:rPr>
          <w:rFonts w:hint="eastAsia"/>
          <w:lang w:val="en-US" w:eastAsia="zh-CN"/>
        </w:rPr>
        <w:t>B</w:t>
      </w:r>
      <w:r>
        <w:rPr>
          <w:rFonts w:hint="eastAsia"/>
          <w:lang w:eastAsia="zh-CN"/>
        </w:rPr>
        <w:t>常见严重技术风险认定参考示例</w:t>
      </w:r>
    </w:p>
    <w:p w14:paraId="2834DA72">
      <w:pPr>
        <w:widowControl w:val="0"/>
        <w:kinsoku/>
        <w:adjustRightInd/>
        <w:snapToGrid/>
        <w:spacing w:line="36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常见严重技术风险认定参考示例</w:t>
      </w:r>
    </w:p>
    <w:tbl>
      <w:tblPr>
        <w:tblStyle w:val="8"/>
        <w:tblW w:w="1443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82"/>
        <w:gridCol w:w="1077"/>
        <w:gridCol w:w="906"/>
        <w:gridCol w:w="1699"/>
        <w:gridCol w:w="2778"/>
        <w:gridCol w:w="849"/>
        <w:gridCol w:w="850"/>
        <w:gridCol w:w="708"/>
        <w:gridCol w:w="3681"/>
      </w:tblGrid>
      <w:tr w14:paraId="39C62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restart"/>
            <w:noWrap w:val="0"/>
            <w:vAlign w:val="center"/>
          </w:tcPr>
          <w:p w14:paraId="0CE0816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承保范围</w:t>
            </w:r>
          </w:p>
        </w:tc>
        <w:tc>
          <w:tcPr>
            <w:tcW w:w="1077" w:type="dxa"/>
            <w:vMerge w:val="restart"/>
            <w:noWrap w:val="0"/>
            <w:vAlign w:val="center"/>
          </w:tcPr>
          <w:p w14:paraId="7A5296C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细化分类</w:t>
            </w:r>
          </w:p>
        </w:tc>
        <w:tc>
          <w:tcPr>
            <w:tcW w:w="2605" w:type="dxa"/>
            <w:gridSpan w:val="2"/>
            <w:vMerge w:val="restart"/>
            <w:noWrap w:val="0"/>
            <w:vAlign w:val="center"/>
          </w:tcPr>
          <w:p w14:paraId="68F0112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技术风险问题</w:t>
            </w:r>
          </w:p>
        </w:tc>
        <w:tc>
          <w:tcPr>
            <w:tcW w:w="2778" w:type="dxa"/>
            <w:vMerge w:val="restart"/>
            <w:noWrap w:val="0"/>
            <w:vAlign w:val="center"/>
          </w:tcPr>
          <w:p w14:paraId="4755B57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风险名称</w:t>
            </w:r>
          </w:p>
        </w:tc>
        <w:tc>
          <w:tcPr>
            <w:tcW w:w="2407" w:type="dxa"/>
            <w:gridSpan w:val="3"/>
            <w:noWrap w:val="0"/>
            <w:vAlign w:val="center"/>
          </w:tcPr>
          <w:p w14:paraId="392EC37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阶段</w:t>
            </w:r>
          </w:p>
        </w:tc>
        <w:tc>
          <w:tcPr>
            <w:tcW w:w="3681" w:type="dxa"/>
            <w:vMerge w:val="restart"/>
            <w:noWrap w:val="0"/>
            <w:vAlign w:val="center"/>
          </w:tcPr>
          <w:p w14:paraId="4628830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严重技术风险</w:t>
            </w:r>
          </w:p>
          <w:p w14:paraId="7281231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3AC4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1882" w:type="dxa"/>
            <w:vMerge w:val="continue"/>
            <w:noWrap w:val="0"/>
            <w:vAlign w:val="top"/>
          </w:tcPr>
          <w:p w14:paraId="114D3831">
            <w:pPr>
              <w:widowControl w:val="0"/>
              <w:kinsoku/>
              <w:adjustRightInd/>
              <w:snapToGrid/>
              <w:textAlignment w:val="auto"/>
              <w:rPr>
                <w:rFonts w:ascii="仿宋" w:hAnsi="仿宋" w:eastAsia="仿宋" w:cs="仿宋"/>
                <w:color w:val="auto"/>
                <w:sz w:val="24"/>
                <w:szCs w:val="24"/>
                <w:lang w:eastAsia="zh-CN"/>
              </w:rPr>
            </w:pPr>
          </w:p>
        </w:tc>
        <w:tc>
          <w:tcPr>
            <w:tcW w:w="1077" w:type="dxa"/>
            <w:vMerge w:val="continue"/>
            <w:noWrap w:val="0"/>
            <w:vAlign w:val="top"/>
          </w:tcPr>
          <w:p w14:paraId="290A9812">
            <w:pPr>
              <w:widowControl w:val="0"/>
              <w:kinsoku/>
              <w:adjustRightInd/>
              <w:snapToGrid/>
              <w:textAlignment w:val="auto"/>
              <w:rPr>
                <w:rFonts w:ascii="仿宋" w:hAnsi="仿宋" w:eastAsia="仿宋" w:cs="仿宋"/>
                <w:color w:val="auto"/>
                <w:sz w:val="24"/>
                <w:szCs w:val="24"/>
                <w:lang w:eastAsia="zh-CN"/>
              </w:rPr>
            </w:pPr>
          </w:p>
        </w:tc>
        <w:tc>
          <w:tcPr>
            <w:tcW w:w="2605" w:type="dxa"/>
            <w:gridSpan w:val="2"/>
            <w:vMerge w:val="continue"/>
            <w:noWrap w:val="0"/>
            <w:vAlign w:val="top"/>
          </w:tcPr>
          <w:p w14:paraId="16C2AD80">
            <w:pPr>
              <w:widowControl w:val="0"/>
              <w:kinsoku/>
              <w:adjustRightInd/>
              <w:snapToGrid/>
              <w:textAlignment w:val="auto"/>
              <w:rPr>
                <w:rFonts w:ascii="仿宋" w:hAnsi="仿宋" w:eastAsia="仿宋" w:cs="仿宋"/>
                <w:color w:val="auto"/>
                <w:sz w:val="24"/>
                <w:szCs w:val="24"/>
                <w:lang w:eastAsia="zh-CN"/>
              </w:rPr>
            </w:pPr>
          </w:p>
        </w:tc>
        <w:tc>
          <w:tcPr>
            <w:tcW w:w="2778" w:type="dxa"/>
            <w:vMerge w:val="continue"/>
            <w:noWrap w:val="0"/>
            <w:vAlign w:val="top"/>
          </w:tcPr>
          <w:p w14:paraId="5BD7479C">
            <w:pPr>
              <w:widowControl w:val="0"/>
              <w:kinsoku/>
              <w:adjustRightInd/>
              <w:snapToGrid/>
              <w:textAlignment w:val="auto"/>
              <w:rPr>
                <w:rFonts w:ascii="仿宋" w:hAnsi="仿宋" w:eastAsia="仿宋" w:cs="仿宋"/>
                <w:color w:val="auto"/>
                <w:sz w:val="24"/>
                <w:szCs w:val="24"/>
                <w:lang w:eastAsia="zh-CN"/>
              </w:rPr>
            </w:pPr>
          </w:p>
        </w:tc>
        <w:tc>
          <w:tcPr>
            <w:tcW w:w="849" w:type="dxa"/>
            <w:noWrap w:val="0"/>
            <w:vAlign w:val="top"/>
          </w:tcPr>
          <w:p w14:paraId="5628A67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w:t>
            </w:r>
          </w:p>
        </w:tc>
        <w:tc>
          <w:tcPr>
            <w:tcW w:w="850" w:type="dxa"/>
            <w:noWrap w:val="0"/>
            <w:vAlign w:val="top"/>
          </w:tcPr>
          <w:p w14:paraId="7BE8A49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w:t>
            </w:r>
          </w:p>
        </w:tc>
        <w:tc>
          <w:tcPr>
            <w:tcW w:w="708" w:type="dxa"/>
            <w:noWrap w:val="0"/>
            <w:vAlign w:val="top"/>
          </w:tcPr>
          <w:p w14:paraId="104A049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w:t>
            </w:r>
          </w:p>
        </w:tc>
        <w:tc>
          <w:tcPr>
            <w:tcW w:w="3681" w:type="dxa"/>
            <w:vMerge w:val="continue"/>
            <w:noWrap w:val="0"/>
            <w:vAlign w:val="top"/>
          </w:tcPr>
          <w:p w14:paraId="47D58868">
            <w:pPr>
              <w:widowControl w:val="0"/>
              <w:kinsoku/>
              <w:adjustRightInd/>
              <w:snapToGrid/>
              <w:textAlignment w:val="auto"/>
              <w:rPr>
                <w:rFonts w:ascii="仿宋" w:hAnsi="仿宋" w:eastAsia="仿宋" w:cs="仿宋"/>
                <w:color w:val="auto"/>
                <w:sz w:val="24"/>
                <w:szCs w:val="24"/>
              </w:rPr>
            </w:pPr>
          </w:p>
        </w:tc>
      </w:tr>
      <w:tr w14:paraId="5454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882" w:type="dxa"/>
            <w:vMerge w:val="restart"/>
            <w:noWrap w:val="0"/>
            <w:vAlign w:val="center"/>
          </w:tcPr>
          <w:p w14:paraId="5F0D0C1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十年责任期</w:t>
            </w:r>
          </w:p>
          <w:p w14:paraId="4CAB168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（结构）</w:t>
            </w:r>
          </w:p>
        </w:tc>
        <w:tc>
          <w:tcPr>
            <w:tcW w:w="1077" w:type="dxa"/>
            <w:vMerge w:val="restart"/>
            <w:noWrap w:val="0"/>
            <w:vAlign w:val="center"/>
          </w:tcPr>
          <w:p w14:paraId="661680D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现浇结构</w:t>
            </w:r>
          </w:p>
        </w:tc>
        <w:tc>
          <w:tcPr>
            <w:tcW w:w="906" w:type="dxa"/>
            <w:vMerge w:val="restart"/>
            <w:noWrap w:val="0"/>
            <w:vAlign w:val="center"/>
          </w:tcPr>
          <w:p w14:paraId="0561BFA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地基基础</w:t>
            </w:r>
          </w:p>
        </w:tc>
        <w:tc>
          <w:tcPr>
            <w:tcW w:w="1699" w:type="dxa"/>
            <w:vMerge w:val="restart"/>
            <w:noWrap w:val="0"/>
            <w:vAlign w:val="center"/>
          </w:tcPr>
          <w:p w14:paraId="5B4BF67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大面积开裂</w:t>
            </w:r>
          </w:p>
          <w:p w14:paraId="00F149C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（贯穿裂缝）</w:t>
            </w:r>
          </w:p>
        </w:tc>
        <w:tc>
          <w:tcPr>
            <w:tcW w:w="2778" w:type="dxa"/>
            <w:noWrap w:val="0"/>
            <w:vAlign w:val="center"/>
          </w:tcPr>
          <w:p w14:paraId="6505125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上浮破坏风险</w:t>
            </w:r>
          </w:p>
        </w:tc>
        <w:tc>
          <w:tcPr>
            <w:tcW w:w="849" w:type="dxa"/>
            <w:noWrap w:val="0"/>
            <w:vAlign w:val="center"/>
          </w:tcPr>
          <w:p w14:paraId="0DC44B0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913133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ED7DA61">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0717EFA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61F1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5CCC7615">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39FBB3BD">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7E69B12B">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469C6CA5">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2D0C240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混凝土强度风险</w:t>
            </w:r>
          </w:p>
        </w:tc>
        <w:tc>
          <w:tcPr>
            <w:tcW w:w="849" w:type="dxa"/>
            <w:noWrap w:val="0"/>
            <w:vAlign w:val="center"/>
          </w:tcPr>
          <w:p w14:paraId="053C629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6AB6B4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CF9548C">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F52BC70">
            <w:pPr>
              <w:widowControl w:val="0"/>
              <w:kinsoku/>
              <w:adjustRightInd/>
              <w:snapToGrid/>
              <w:jc w:val="center"/>
              <w:textAlignment w:val="auto"/>
              <w:rPr>
                <w:rFonts w:ascii="仿宋" w:hAnsi="仿宋" w:eastAsia="仿宋" w:cs="仿宋"/>
                <w:color w:val="auto"/>
                <w:sz w:val="24"/>
                <w:szCs w:val="24"/>
              </w:rPr>
            </w:pPr>
          </w:p>
        </w:tc>
      </w:tr>
      <w:tr w14:paraId="1A3E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21AAFF6D">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DFA7B80">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2A818572">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295F3470">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4DA8AE9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大体积混凝土浇筑产生开裂</w:t>
            </w:r>
          </w:p>
        </w:tc>
        <w:tc>
          <w:tcPr>
            <w:tcW w:w="849" w:type="dxa"/>
            <w:noWrap w:val="0"/>
            <w:vAlign w:val="center"/>
          </w:tcPr>
          <w:p w14:paraId="27868A6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0AE47D6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4153F2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7C3DF6CE">
            <w:pPr>
              <w:widowControl w:val="0"/>
              <w:kinsoku/>
              <w:adjustRightInd/>
              <w:snapToGrid/>
              <w:jc w:val="center"/>
              <w:textAlignment w:val="auto"/>
              <w:rPr>
                <w:rFonts w:ascii="仿宋" w:hAnsi="仿宋" w:eastAsia="仿宋" w:cs="仿宋"/>
                <w:color w:val="auto"/>
                <w:sz w:val="24"/>
                <w:szCs w:val="24"/>
              </w:rPr>
            </w:pPr>
          </w:p>
        </w:tc>
      </w:tr>
      <w:tr w14:paraId="29B49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020DB4CE">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6C2B647">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3CCDEE3D">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37A738C3">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7211EF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不均匀沉降</w:t>
            </w:r>
          </w:p>
        </w:tc>
        <w:tc>
          <w:tcPr>
            <w:tcW w:w="849" w:type="dxa"/>
            <w:noWrap w:val="0"/>
            <w:vAlign w:val="center"/>
          </w:tcPr>
          <w:p w14:paraId="620AA29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F97F57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7F9102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3681" w:type="dxa"/>
            <w:vMerge w:val="continue"/>
            <w:noWrap w:val="0"/>
            <w:vAlign w:val="center"/>
          </w:tcPr>
          <w:p w14:paraId="6692CC22">
            <w:pPr>
              <w:widowControl w:val="0"/>
              <w:kinsoku/>
              <w:adjustRightInd/>
              <w:snapToGrid/>
              <w:jc w:val="center"/>
              <w:textAlignment w:val="auto"/>
              <w:rPr>
                <w:rFonts w:ascii="仿宋" w:hAnsi="仿宋" w:eastAsia="仿宋" w:cs="仿宋"/>
                <w:color w:val="auto"/>
                <w:sz w:val="24"/>
                <w:szCs w:val="24"/>
              </w:rPr>
            </w:pPr>
          </w:p>
        </w:tc>
      </w:tr>
      <w:tr w14:paraId="7E3B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682D9270">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6C316175">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6052735B">
            <w:pPr>
              <w:widowControl w:val="0"/>
              <w:kinsoku/>
              <w:adjustRightInd/>
              <w:snapToGrid/>
              <w:jc w:val="center"/>
              <w:textAlignment w:val="auto"/>
              <w:rPr>
                <w:rFonts w:ascii="仿宋" w:hAnsi="仿宋" w:eastAsia="仿宋" w:cs="仿宋"/>
                <w:color w:val="auto"/>
                <w:sz w:val="24"/>
                <w:szCs w:val="24"/>
              </w:rPr>
            </w:pPr>
          </w:p>
        </w:tc>
        <w:tc>
          <w:tcPr>
            <w:tcW w:w="1699" w:type="dxa"/>
            <w:vMerge w:val="restart"/>
            <w:noWrap w:val="0"/>
            <w:vAlign w:val="center"/>
          </w:tcPr>
          <w:p w14:paraId="653F843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整体、局部坍塌</w:t>
            </w:r>
          </w:p>
        </w:tc>
        <w:tc>
          <w:tcPr>
            <w:tcW w:w="2778" w:type="dxa"/>
            <w:noWrap w:val="0"/>
            <w:vAlign w:val="center"/>
          </w:tcPr>
          <w:p w14:paraId="0DDD2BE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模板及支架风险</w:t>
            </w:r>
          </w:p>
        </w:tc>
        <w:tc>
          <w:tcPr>
            <w:tcW w:w="849" w:type="dxa"/>
            <w:noWrap w:val="0"/>
            <w:vAlign w:val="center"/>
          </w:tcPr>
          <w:p w14:paraId="61C21EAA">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5C3BB9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C829C7E">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48B71AA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7A96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6DE78A88">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0DD677D">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221F2B9E">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3DA1457A">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FA3139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荷载过大</w:t>
            </w:r>
          </w:p>
        </w:tc>
        <w:tc>
          <w:tcPr>
            <w:tcW w:w="849" w:type="dxa"/>
            <w:noWrap w:val="0"/>
            <w:vAlign w:val="center"/>
          </w:tcPr>
          <w:p w14:paraId="0BD0A9F1">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172EB4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65345E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E2AAA67">
            <w:pPr>
              <w:widowControl w:val="0"/>
              <w:kinsoku/>
              <w:adjustRightInd/>
              <w:snapToGrid/>
              <w:jc w:val="center"/>
              <w:textAlignment w:val="auto"/>
              <w:rPr>
                <w:rFonts w:ascii="仿宋" w:hAnsi="仿宋" w:eastAsia="仿宋" w:cs="仿宋"/>
                <w:color w:val="auto"/>
                <w:sz w:val="24"/>
                <w:szCs w:val="24"/>
              </w:rPr>
            </w:pPr>
          </w:p>
        </w:tc>
      </w:tr>
      <w:tr w14:paraId="3C392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4503B3E6">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F9E6D34">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5D55D134">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48289611">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6ECA5B6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构件强度不足</w:t>
            </w:r>
          </w:p>
        </w:tc>
        <w:tc>
          <w:tcPr>
            <w:tcW w:w="849" w:type="dxa"/>
            <w:noWrap w:val="0"/>
            <w:vAlign w:val="center"/>
          </w:tcPr>
          <w:p w14:paraId="479A378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2BB6A9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0FF9962">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90E3EDE">
            <w:pPr>
              <w:widowControl w:val="0"/>
              <w:kinsoku/>
              <w:adjustRightInd/>
              <w:snapToGrid/>
              <w:jc w:val="center"/>
              <w:textAlignment w:val="auto"/>
              <w:rPr>
                <w:rFonts w:ascii="仿宋" w:hAnsi="仿宋" w:eastAsia="仿宋" w:cs="仿宋"/>
                <w:color w:val="auto"/>
                <w:sz w:val="24"/>
                <w:szCs w:val="24"/>
              </w:rPr>
            </w:pPr>
          </w:p>
        </w:tc>
      </w:tr>
      <w:tr w14:paraId="777C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2399409A">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30D6DEC1">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71B7B008">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709750C5">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642DC7D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支撑不足</w:t>
            </w:r>
          </w:p>
        </w:tc>
        <w:tc>
          <w:tcPr>
            <w:tcW w:w="849" w:type="dxa"/>
            <w:noWrap w:val="0"/>
            <w:vAlign w:val="center"/>
          </w:tcPr>
          <w:p w14:paraId="543B7CE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36637BC3">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154E131E">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01368128">
            <w:pPr>
              <w:widowControl w:val="0"/>
              <w:kinsoku/>
              <w:adjustRightInd/>
              <w:snapToGrid/>
              <w:jc w:val="center"/>
              <w:textAlignment w:val="auto"/>
              <w:rPr>
                <w:rFonts w:ascii="仿宋" w:hAnsi="仿宋" w:eastAsia="仿宋" w:cs="仿宋"/>
                <w:color w:val="auto"/>
                <w:sz w:val="24"/>
                <w:szCs w:val="24"/>
              </w:rPr>
            </w:pPr>
          </w:p>
        </w:tc>
      </w:tr>
      <w:tr w14:paraId="1703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882" w:type="dxa"/>
            <w:vMerge w:val="continue"/>
            <w:noWrap w:val="0"/>
            <w:vAlign w:val="center"/>
          </w:tcPr>
          <w:p w14:paraId="2E1C7F7F">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C7BA526">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1A1B97BA">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051C2EFB">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5322FE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不按图施工（如：混凝土强度低于设计要求；钢筋严重漏配、少配）</w:t>
            </w:r>
          </w:p>
        </w:tc>
        <w:tc>
          <w:tcPr>
            <w:tcW w:w="849" w:type="dxa"/>
            <w:noWrap w:val="0"/>
            <w:vAlign w:val="center"/>
          </w:tcPr>
          <w:p w14:paraId="61131655">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5C12903">
            <w:pPr>
              <w:pStyle w:val="11"/>
              <w:widowControl w:val="0"/>
              <w:kinsoku/>
              <w:adjustRightInd/>
              <w:snapToGrid/>
              <w:jc w:val="center"/>
              <w:textAlignment w:val="auto"/>
              <w:rPr>
                <w:rFonts w:ascii="仿宋" w:hAnsi="仿宋" w:eastAsia="仿宋" w:cs="仿宋"/>
                <w:color w:val="auto"/>
                <w:sz w:val="24"/>
                <w:szCs w:val="24"/>
              </w:rPr>
            </w:pPr>
          </w:p>
          <w:p w14:paraId="6E23B43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7FEB2D6">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33A3F28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37B6B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7D13CFCF">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E17B31E">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1BE233A1">
            <w:pPr>
              <w:widowControl w:val="0"/>
              <w:kinsoku/>
              <w:adjustRightInd/>
              <w:snapToGrid/>
              <w:jc w:val="center"/>
              <w:textAlignment w:val="auto"/>
              <w:rPr>
                <w:rFonts w:ascii="仿宋" w:hAnsi="仿宋" w:eastAsia="仿宋" w:cs="仿宋"/>
                <w:color w:val="auto"/>
                <w:sz w:val="24"/>
                <w:szCs w:val="24"/>
              </w:rPr>
            </w:pPr>
          </w:p>
        </w:tc>
        <w:tc>
          <w:tcPr>
            <w:tcW w:w="1699" w:type="dxa"/>
            <w:vMerge w:val="restart"/>
            <w:noWrap w:val="0"/>
            <w:vAlign w:val="center"/>
          </w:tcPr>
          <w:p w14:paraId="1329B1C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桩基等构件破坏、质量差</w:t>
            </w:r>
          </w:p>
        </w:tc>
        <w:tc>
          <w:tcPr>
            <w:tcW w:w="2778" w:type="dxa"/>
            <w:noWrap w:val="0"/>
            <w:vAlign w:val="center"/>
          </w:tcPr>
          <w:p w14:paraId="6E0AE0A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钢筋质量缺陷</w:t>
            </w:r>
          </w:p>
        </w:tc>
        <w:tc>
          <w:tcPr>
            <w:tcW w:w="849" w:type="dxa"/>
            <w:noWrap w:val="0"/>
            <w:vAlign w:val="center"/>
          </w:tcPr>
          <w:p w14:paraId="0F95FE49">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476E46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5B57A862">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6F8765E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3A19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882" w:type="dxa"/>
            <w:vMerge w:val="continue"/>
            <w:noWrap w:val="0"/>
            <w:vAlign w:val="center"/>
          </w:tcPr>
          <w:p w14:paraId="3F4BE7E5">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2880A5CD">
            <w:pPr>
              <w:widowControl w:val="0"/>
              <w:kinsoku/>
              <w:adjustRightInd/>
              <w:snapToGrid/>
              <w:jc w:val="center"/>
              <w:textAlignment w:val="auto"/>
              <w:rPr>
                <w:rFonts w:ascii="仿宋" w:hAnsi="仿宋" w:eastAsia="仿宋" w:cs="仿宋"/>
                <w:color w:val="auto"/>
                <w:sz w:val="24"/>
                <w:szCs w:val="24"/>
                <w:lang w:eastAsia="zh-CN"/>
              </w:rPr>
            </w:pPr>
          </w:p>
        </w:tc>
        <w:tc>
          <w:tcPr>
            <w:tcW w:w="906" w:type="dxa"/>
            <w:vMerge w:val="continue"/>
            <w:noWrap w:val="0"/>
            <w:vAlign w:val="center"/>
          </w:tcPr>
          <w:p w14:paraId="7C6A194D">
            <w:pPr>
              <w:widowControl w:val="0"/>
              <w:kinsoku/>
              <w:adjustRightInd/>
              <w:snapToGrid/>
              <w:jc w:val="center"/>
              <w:textAlignment w:val="auto"/>
              <w:rPr>
                <w:rFonts w:ascii="仿宋" w:hAnsi="仿宋" w:eastAsia="仿宋" w:cs="仿宋"/>
                <w:color w:val="auto"/>
                <w:sz w:val="24"/>
                <w:szCs w:val="24"/>
                <w:lang w:eastAsia="zh-CN"/>
              </w:rPr>
            </w:pPr>
          </w:p>
        </w:tc>
        <w:tc>
          <w:tcPr>
            <w:tcW w:w="1699" w:type="dxa"/>
            <w:vMerge w:val="continue"/>
            <w:noWrap w:val="0"/>
            <w:vAlign w:val="center"/>
          </w:tcPr>
          <w:p w14:paraId="07D9F02C">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1E8E45C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桩基、构件偏位</w:t>
            </w:r>
          </w:p>
        </w:tc>
        <w:tc>
          <w:tcPr>
            <w:tcW w:w="849" w:type="dxa"/>
            <w:noWrap w:val="0"/>
            <w:vAlign w:val="center"/>
          </w:tcPr>
          <w:p w14:paraId="2A43AC4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64146B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28163A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487ABD41">
            <w:pPr>
              <w:widowControl w:val="0"/>
              <w:kinsoku/>
              <w:adjustRightInd/>
              <w:snapToGrid/>
              <w:jc w:val="center"/>
              <w:textAlignment w:val="auto"/>
              <w:rPr>
                <w:rFonts w:ascii="仿宋" w:hAnsi="仿宋" w:eastAsia="仿宋" w:cs="仿宋"/>
                <w:color w:val="auto"/>
                <w:sz w:val="24"/>
                <w:szCs w:val="24"/>
              </w:rPr>
            </w:pPr>
          </w:p>
        </w:tc>
      </w:tr>
      <w:tr w14:paraId="35BC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882" w:type="dxa"/>
            <w:vMerge w:val="continue"/>
            <w:noWrap w:val="0"/>
            <w:vAlign w:val="center"/>
          </w:tcPr>
          <w:p w14:paraId="09397664">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7450C487">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264A5CE8">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18CC54E3">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5597069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大量桩端标高低于大底板且未采取有效措施处理。</w:t>
            </w:r>
          </w:p>
        </w:tc>
        <w:tc>
          <w:tcPr>
            <w:tcW w:w="849" w:type="dxa"/>
            <w:noWrap w:val="0"/>
            <w:vAlign w:val="center"/>
          </w:tcPr>
          <w:p w14:paraId="17382001">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DE1EEF8">
            <w:pPr>
              <w:pStyle w:val="11"/>
              <w:widowControl w:val="0"/>
              <w:kinsoku/>
              <w:adjustRightInd/>
              <w:snapToGrid/>
              <w:jc w:val="center"/>
              <w:textAlignment w:val="auto"/>
              <w:rPr>
                <w:rFonts w:ascii="仿宋" w:hAnsi="仿宋" w:eastAsia="仿宋" w:cs="仿宋"/>
                <w:color w:val="auto"/>
                <w:sz w:val="24"/>
                <w:szCs w:val="24"/>
              </w:rPr>
            </w:pPr>
          </w:p>
          <w:p w14:paraId="6A88B94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DCD7C7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3F517538">
            <w:pPr>
              <w:widowControl w:val="0"/>
              <w:kinsoku/>
              <w:adjustRightInd/>
              <w:snapToGrid/>
              <w:jc w:val="center"/>
              <w:textAlignment w:val="auto"/>
              <w:rPr>
                <w:rFonts w:ascii="仿宋" w:hAnsi="仿宋" w:eastAsia="仿宋" w:cs="仿宋"/>
                <w:color w:val="auto"/>
                <w:sz w:val="24"/>
                <w:szCs w:val="24"/>
              </w:rPr>
            </w:pPr>
          </w:p>
        </w:tc>
      </w:tr>
      <w:tr w14:paraId="2629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82" w:type="dxa"/>
            <w:vMerge w:val="continue"/>
            <w:noWrap w:val="0"/>
            <w:vAlign w:val="center"/>
          </w:tcPr>
          <w:p w14:paraId="668B94EC">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BA76768">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0F1C2C52">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228968A1">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52A8F1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混凝土浇筑不全</w:t>
            </w:r>
          </w:p>
        </w:tc>
        <w:tc>
          <w:tcPr>
            <w:tcW w:w="849" w:type="dxa"/>
            <w:noWrap w:val="0"/>
            <w:vAlign w:val="center"/>
          </w:tcPr>
          <w:p w14:paraId="149A35A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045D7DB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B242109">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74CE5606">
            <w:pPr>
              <w:widowControl w:val="0"/>
              <w:kinsoku/>
              <w:adjustRightInd/>
              <w:snapToGrid/>
              <w:jc w:val="center"/>
              <w:textAlignment w:val="auto"/>
              <w:rPr>
                <w:rFonts w:ascii="仿宋" w:hAnsi="仿宋" w:eastAsia="仿宋" w:cs="仿宋"/>
                <w:color w:val="auto"/>
                <w:sz w:val="24"/>
                <w:szCs w:val="24"/>
              </w:rPr>
            </w:pPr>
          </w:p>
        </w:tc>
      </w:tr>
      <w:tr w14:paraId="16B2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882" w:type="dxa"/>
            <w:vMerge w:val="continue"/>
            <w:noWrap w:val="0"/>
            <w:vAlign w:val="center"/>
          </w:tcPr>
          <w:p w14:paraId="5714CB93">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57777EA1">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34342185">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7E2FE427">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162A6F8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接桩质量风险</w:t>
            </w:r>
          </w:p>
        </w:tc>
        <w:tc>
          <w:tcPr>
            <w:tcW w:w="849" w:type="dxa"/>
            <w:noWrap w:val="0"/>
            <w:vAlign w:val="center"/>
          </w:tcPr>
          <w:p w14:paraId="6720A2AA">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874A18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2F53760">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0D25B63">
            <w:pPr>
              <w:widowControl w:val="0"/>
              <w:kinsoku/>
              <w:adjustRightInd/>
              <w:snapToGrid/>
              <w:jc w:val="center"/>
              <w:textAlignment w:val="auto"/>
              <w:rPr>
                <w:rFonts w:ascii="仿宋" w:hAnsi="仿宋" w:eastAsia="仿宋" w:cs="仿宋"/>
                <w:color w:val="auto"/>
                <w:sz w:val="24"/>
                <w:szCs w:val="24"/>
              </w:rPr>
            </w:pPr>
          </w:p>
        </w:tc>
      </w:tr>
      <w:tr w14:paraId="13DE6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882" w:type="dxa"/>
            <w:vMerge w:val="continue"/>
            <w:noWrap w:val="0"/>
            <w:vAlign w:val="center"/>
          </w:tcPr>
          <w:p w14:paraId="0237BC54">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6F33F86">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092EBA76">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58CB0F15">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65A8DDB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混凝土抗渗配合比等抗渗设计</w:t>
            </w:r>
          </w:p>
        </w:tc>
        <w:tc>
          <w:tcPr>
            <w:tcW w:w="849" w:type="dxa"/>
            <w:noWrap w:val="0"/>
            <w:vAlign w:val="center"/>
          </w:tcPr>
          <w:p w14:paraId="6D105454">
            <w:pPr>
              <w:pStyle w:val="11"/>
              <w:widowControl w:val="0"/>
              <w:kinsoku/>
              <w:adjustRightInd/>
              <w:snapToGrid/>
              <w:jc w:val="center"/>
              <w:textAlignment w:val="auto"/>
              <w:rPr>
                <w:rFonts w:ascii="仿宋" w:hAnsi="仿宋" w:eastAsia="仿宋" w:cs="仿宋"/>
                <w:color w:val="auto"/>
                <w:sz w:val="24"/>
                <w:szCs w:val="24"/>
              </w:rPr>
            </w:pPr>
          </w:p>
          <w:p w14:paraId="78ED720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6769ABD">
            <w:pPr>
              <w:pStyle w:val="11"/>
              <w:widowControl w:val="0"/>
              <w:kinsoku/>
              <w:adjustRightInd/>
              <w:snapToGrid/>
              <w:jc w:val="center"/>
              <w:textAlignment w:val="auto"/>
              <w:rPr>
                <w:rFonts w:ascii="仿宋" w:hAnsi="仿宋" w:eastAsia="仿宋" w:cs="仿宋"/>
                <w:color w:val="auto"/>
                <w:sz w:val="24"/>
                <w:szCs w:val="24"/>
              </w:rPr>
            </w:pPr>
          </w:p>
          <w:p w14:paraId="7A72BEB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1483991">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283334F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1E20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1882" w:type="dxa"/>
            <w:vMerge w:val="continue"/>
            <w:noWrap w:val="0"/>
            <w:vAlign w:val="center"/>
          </w:tcPr>
          <w:p w14:paraId="7626A3FC">
            <w:pPr>
              <w:pStyle w:val="11"/>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06892BD">
            <w:pPr>
              <w:pStyle w:val="11"/>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357D5342">
            <w:pPr>
              <w:pStyle w:val="11"/>
              <w:widowControl w:val="0"/>
              <w:kinsoku/>
              <w:adjustRightInd/>
              <w:snapToGrid/>
              <w:jc w:val="both"/>
              <w:textAlignment w:val="auto"/>
              <w:rPr>
                <w:rFonts w:ascii="仿宋" w:hAnsi="仿宋" w:eastAsia="仿宋" w:cs="仿宋"/>
                <w:color w:val="auto"/>
                <w:sz w:val="24"/>
                <w:szCs w:val="24"/>
              </w:rPr>
            </w:pPr>
          </w:p>
        </w:tc>
        <w:tc>
          <w:tcPr>
            <w:tcW w:w="1699" w:type="dxa"/>
            <w:vMerge w:val="continue"/>
            <w:noWrap w:val="0"/>
            <w:vAlign w:val="center"/>
          </w:tcPr>
          <w:p w14:paraId="4F80CA25">
            <w:pPr>
              <w:pStyle w:val="11"/>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946C8B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混凝土浇筑孔洞、裂缝</w:t>
            </w:r>
          </w:p>
        </w:tc>
        <w:tc>
          <w:tcPr>
            <w:tcW w:w="849" w:type="dxa"/>
            <w:noWrap w:val="0"/>
            <w:vAlign w:val="center"/>
          </w:tcPr>
          <w:p w14:paraId="0FA2F4B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9B7739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6CE71F2">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599B92D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99F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882" w:type="dxa"/>
            <w:vMerge w:val="continue"/>
            <w:noWrap w:val="0"/>
            <w:vAlign w:val="center"/>
          </w:tcPr>
          <w:p w14:paraId="1771E075">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7367A27C">
            <w:pPr>
              <w:widowControl w:val="0"/>
              <w:kinsoku/>
              <w:adjustRightInd/>
              <w:snapToGrid/>
              <w:jc w:val="center"/>
              <w:textAlignment w:val="auto"/>
              <w:rPr>
                <w:rFonts w:ascii="仿宋" w:hAnsi="仿宋" w:eastAsia="仿宋" w:cs="仿宋"/>
                <w:color w:val="auto"/>
                <w:sz w:val="24"/>
                <w:szCs w:val="24"/>
                <w:lang w:eastAsia="zh-CN"/>
              </w:rPr>
            </w:pPr>
          </w:p>
        </w:tc>
        <w:tc>
          <w:tcPr>
            <w:tcW w:w="906" w:type="dxa"/>
            <w:vMerge w:val="continue"/>
            <w:noWrap w:val="0"/>
            <w:vAlign w:val="center"/>
          </w:tcPr>
          <w:p w14:paraId="00D60E9E">
            <w:pPr>
              <w:widowControl w:val="0"/>
              <w:kinsoku/>
              <w:adjustRightInd/>
              <w:snapToGrid/>
              <w:jc w:val="center"/>
              <w:textAlignment w:val="auto"/>
              <w:rPr>
                <w:rFonts w:ascii="仿宋" w:hAnsi="仿宋" w:eastAsia="仿宋" w:cs="仿宋"/>
                <w:color w:val="auto"/>
                <w:sz w:val="24"/>
                <w:szCs w:val="24"/>
                <w:lang w:eastAsia="zh-CN"/>
              </w:rPr>
            </w:pPr>
          </w:p>
        </w:tc>
        <w:tc>
          <w:tcPr>
            <w:tcW w:w="1699" w:type="dxa"/>
            <w:vMerge w:val="continue"/>
            <w:noWrap w:val="0"/>
            <w:vAlign w:val="center"/>
          </w:tcPr>
          <w:p w14:paraId="4348EDA3">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50E51FF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大面积钢筋保护层不足</w:t>
            </w:r>
          </w:p>
        </w:tc>
        <w:tc>
          <w:tcPr>
            <w:tcW w:w="849" w:type="dxa"/>
            <w:noWrap w:val="0"/>
            <w:vAlign w:val="center"/>
          </w:tcPr>
          <w:p w14:paraId="6BC3D8EA">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93512A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803C1FE">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186F886B">
            <w:pPr>
              <w:widowControl w:val="0"/>
              <w:kinsoku/>
              <w:adjustRightInd/>
              <w:snapToGrid/>
              <w:jc w:val="center"/>
              <w:textAlignment w:val="auto"/>
              <w:rPr>
                <w:rFonts w:ascii="仿宋" w:hAnsi="仿宋" w:eastAsia="仿宋" w:cs="仿宋"/>
                <w:color w:val="auto"/>
                <w:sz w:val="24"/>
                <w:szCs w:val="24"/>
              </w:rPr>
            </w:pPr>
          </w:p>
        </w:tc>
      </w:tr>
      <w:tr w14:paraId="0CB9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12C45D97">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8D1749A">
            <w:pPr>
              <w:widowControl w:val="0"/>
              <w:kinsoku/>
              <w:adjustRightInd/>
              <w:snapToGrid/>
              <w:jc w:val="center"/>
              <w:textAlignment w:val="auto"/>
              <w:rPr>
                <w:rFonts w:ascii="仿宋" w:hAnsi="仿宋" w:eastAsia="仿宋" w:cs="仿宋"/>
                <w:color w:val="auto"/>
                <w:sz w:val="24"/>
                <w:szCs w:val="24"/>
              </w:rPr>
            </w:pPr>
          </w:p>
        </w:tc>
        <w:tc>
          <w:tcPr>
            <w:tcW w:w="906" w:type="dxa"/>
            <w:vMerge w:val="restart"/>
            <w:noWrap w:val="0"/>
            <w:vAlign w:val="center"/>
          </w:tcPr>
          <w:p w14:paraId="0164E10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主体结构</w:t>
            </w:r>
          </w:p>
        </w:tc>
        <w:tc>
          <w:tcPr>
            <w:tcW w:w="1699" w:type="dxa"/>
            <w:vMerge w:val="restart"/>
            <w:noWrap w:val="0"/>
            <w:vAlign w:val="center"/>
          </w:tcPr>
          <w:p w14:paraId="587D009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大面积脱落、开</w:t>
            </w:r>
          </w:p>
          <w:p w14:paraId="4EF31AC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裂</w:t>
            </w:r>
          </w:p>
        </w:tc>
        <w:tc>
          <w:tcPr>
            <w:tcW w:w="2778" w:type="dxa"/>
            <w:noWrap w:val="0"/>
            <w:vAlign w:val="center"/>
          </w:tcPr>
          <w:p w14:paraId="334AEA0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混凝土强度不达标</w:t>
            </w:r>
          </w:p>
        </w:tc>
        <w:tc>
          <w:tcPr>
            <w:tcW w:w="849" w:type="dxa"/>
            <w:noWrap w:val="0"/>
            <w:vAlign w:val="center"/>
          </w:tcPr>
          <w:p w14:paraId="32BE210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096F526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2841A17">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5766027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6CBE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0F2A9D2E">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7383151A">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4AF69074">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6C6EFE74">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F2848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混凝土氯离子含量超标</w:t>
            </w:r>
          </w:p>
        </w:tc>
        <w:tc>
          <w:tcPr>
            <w:tcW w:w="849" w:type="dxa"/>
            <w:noWrap w:val="0"/>
            <w:vAlign w:val="center"/>
          </w:tcPr>
          <w:p w14:paraId="570D3E3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A4DA84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FDBA9C3">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11557CE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75D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47361EAA">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74A0A41D">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1A1882C1">
            <w:pPr>
              <w:widowControl w:val="0"/>
              <w:kinsoku/>
              <w:adjustRightInd/>
              <w:snapToGrid/>
              <w:jc w:val="center"/>
              <w:textAlignment w:val="auto"/>
              <w:rPr>
                <w:rFonts w:ascii="仿宋" w:hAnsi="仿宋" w:eastAsia="仿宋" w:cs="仿宋"/>
                <w:color w:val="auto"/>
                <w:sz w:val="24"/>
                <w:szCs w:val="24"/>
              </w:rPr>
            </w:pPr>
          </w:p>
        </w:tc>
        <w:tc>
          <w:tcPr>
            <w:tcW w:w="1699" w:type="dxa"/>
            <w:vMerge w:val="restart"/>
            <w:noWrap w:val="0"/>
            <w:vAlign w:val="center"/>
          </w:tcPr>
          <w:p w14:paraId="239BE64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裂缝</w:t>
            </w:r>
          </w:p>
        </w:tc>
        <w:tc>
          <w:tcPr>
            <w:tcW w:w="2778" w:type="dxa"/>
            <w:noWrap w:val="0"/>
            <w:vAlign w:val="center"/>
          </w:tcPr>
          <w:p w14:paraId="3547032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混凝土浇筑风险</w:t>
            </w:r>
          </w:p>
        </w:tc>
        <w:tc>
          <w:tcPr>
            <w:tcW w:w="849" w:type="dxa"/>
            <w:noWrap w:val="0"/>
            <w:vAlign w:val="center"/>
          </w:tcPr>
          <w:p w14:paraId="09A2E37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5A71F3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6A3D8CF">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38D6B7B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43E3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882" w:type="dxa"/>
            <w:vMerge w:val="continue"/>
            <w:noWrap w:val="0"/>
            <w:vAlign w:val="center"/>
          </w:tcPr>
          <w:p w14:paraId="65CF0AA0">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3BDD17C3">
            <w:pPr>
              <w:widowControl w:val="0"/>
              <w:kinsoku/>
              <w:adjustRightInd/>
              <w:snapToGrid/>
              <w:jc w:val="center"/>
              <w:textAlignment w:val="auto"/>
              <w:rPr>
                <w:rFonts w:ascii="仿宋" w:hAnsi="仿宋" w:eastAsia="仿宋" w:cs="仿宋"/>
                <w:color w:val="auto"/>
                <w:sz w:val="24"/>
                <w:szCs w:val="24"/>
                <w:lang w:eastAsia="zh-CN"/>
              </w:rPr>
            </w:pPr>
          </w:p>
        </w:tc>
        <w:tc>
          <w:tcPr>
            <w:tcW w:w="906" w:type="dxa"/>
            <w:vMerge w:val="continue"/>
            <w:noWrap w:val="0"/>
            <w:vAlign w:val="center"/>
          </w:tcPr>
          <w:p w14:paraId="2C5F85C5">
            <w:pPr>
              <w:widowControl w:val="0"/>
              <w:kinsoku/>
              <w:adjustRightInd/>
              <w:snapToGrid/>
              <w:jc w:val="center"/>
              <w:textAlignment w:val="auto"/>
              <w:rPr>
                <w:rFonts w:ascii="仿宋" w:hAnsi="仿宋" w:eastAsia="仿宋" w:cs="仿宋"/>
                <w:color w:val="auto"/>
                <w:sz w:val="24"/>
                <w:szCs w:val="24"/>
                <w:lang w:eastAsia="zh-CN"/>
              </w:rPr>
            </w:pPr>
          </w:p>
        </w:tc>
        <w:tc>
          <w:tcPr>
            <w:tcW w:w="1699" w:type="dxa"/>
            <w:vMerge w:val="continue"/>
            <w:noWrap w:val="0"/>
            <w:vAlign w:val="center"/>
          </w:tcPr>
          <w:p w14:paraId="2217C30C">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4F9B073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钢筋连接不到位、缺失</w:t>
            </w:r>
          </w:p>
        </w:tc>
        <w:tc>
          <w:tcPr>
            <w:tcW w:w="849" w:type="dxa"/>
            <w:noWrap w:val="0"/>
            <w:vAlign w:val="center"/>
          </w:tcPr>
          <w:p w14:paraId="77A0EB1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9E3154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7EF83FD">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3D194E6">
            <w:pPr>
              <w:widowControl w:val="0"/>
              <w:kinsoku/>
              <w:adjustRightInd/>
              <w:snapToGrid/>
              <w:jc w:val="center"/>
              <w:textAlignment w:val="auto"/>
              <w:rPr>
                <w:rFonts w:ascii="仿宋" w:hAnsi="仿宋" w:eastAsia="仿宋" w:cs="仿宋"/>
                <w:color w:val="auto"/>
                <w:sz w:val="24"/>
                <w:szCs w:val="24"/>
              </w:rPr>
            </w:pPr>
          </w:p>
        </w:tc>
      </w:tr>
      <w:tr w14:paraId="565E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0BF7E5B">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36C7F55F">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1FF39880">
            <w:pPr>
              <w:widowControl w:val="0"/>
              <w:kinsoku/>
              <w:adjustRightInd/>
              <w:snapToGrid/>
              <w:jc w:val="center"/>
              <w:textAlignment w:val="auto"/>
              <w:rPr>
                <w:rFonts w:ascii="仿宋" w:hAnsi="仿宋" w:eastAsia="仿宋" w:cs="仿宋"/>
                <w:color w:val="auto"/>
                <w:sz w:val="24"/>
                <w:szCs w:val="24"/>
              </w:rPr>
            </w:pPr>
          </w:p>
        </w:tc>
        <w:tc>
          <w:tcPr>
            <w:tcW w:w="1699" w:type="dxa"/>
            <w:vMerge w:val="restart"/>
            <w:noWrap w:val="0"/>
            <w:vAlign w:val="center"/>
          </w:tcPr>
          <w:p w14:paraId="197C0CF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柱、梁、板构件破坏、质量差</w:t>
            </w:r>
          </w:p>
        </w:tc>
        <w:tc>
          <w:tcPr>
            <w:tcW w:w="2778" w:type="dxa"/>
            <w:noWrap w:val="0"/>
            <w:vAlign w:val="center"/>
          </w:tcPr>
          <w:p w14:paraId="1CFC62D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钢筋质量缺陷</w:t>
            </w:r>
          </w:p>
        </w:tc>
        <w:tc>
          <w:tcPr>
            <w:tcW w:w="849" w:type="dxa"/>
            <w:noWrap w:val="0"/>
            <w:vAlign w:val="center"/>
          </w:tcPr>
          <w:p w14:paraId="353A639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6EEEA90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6BC509F">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34DBBDD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DAD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0AF258C6">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6DF5F5A0">
            <w:pPr>
              <w:widowControl w:val="0"/>
              <w:kinsoku/>
              <w:adjustRightInd/>
              <w:snapToGrid/>
              <w:jc w:val="center"/>
              <w:textAlignment w:val="auto"/>
              <w:rPr>
                <w:rFonts w:ascii="仿宋" w:hAnsi="仿宋" w:eastAsia="仿宋" w:cs="仿宋"/>
                <w:color w:val="auto"/>
                <w:sz w:val="24"/>
                <w:szCs w:val="24"/>
                <w:lang w:eastAsia="zh-CN"/>
              </w:rPr>
            </w:pPr>
          </w:p>
        </w:tc>
        <w:tc>
          <w:tcPr>
            <w:tcW w:w="906" w:type="dxa"/>
            <w:vMerge w:val="continue"/>
            <w:noWrap w:val="0"/>
            <w:vAlign w:val="center"/>
          </w:tcPr>
          <w:p w14:paraId="392187FE">
            <w:pPr>
              <w:widowControl w:val="0"/>
              <w:kinsoku/>
              <w:adjustRightInd/>
              <w:snapToGrid/>
              <w:jc w:val="center"/>
              <w:textAlignment w:val="auto"/>
              <w:rPr>
                <w:rFonts w:ascii="仿宋" w:hAnsi="仿宋" w:eastAsia="仿宋" w:cs="仿宋"/>
                <w:color w:val="auto"/>
                <w:sz w:val="24"/>
                <w:szCs w:val="24"/>
                <w:lang w:eastAsia="zh-CN"/>
              </w:rPr>
            </w:pPr>
          </w:p>
        </w:tc>
        <w:tc>
          <w:tcPr>
            <w:tcW w:w="1699" w:type="dxa"/>
            <w:vMerge w:val="continue"/>
            <w:noWrap w:val="0"/>
            <w:vAlign w:val="center"/>
          </w:tcPr>
          <w:p w14:paraId="05017CD7">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7358F03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梁柱节点钢筋质量缺陷</w:t>
            </w:r>
          </w:p>
        </w:tc>
        <w:tc>
          <w:tcPr>
            <w:tcW w:w="849" w:type="dxa"/>
            <w:noWrap w:val="0"/>
            <w:vAlign w:val="center"/>
          </w:tcPr>
          <w:p w14:paraId="1739BF8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758EB0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ACB19A6">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7803D323">
            <w:pPr>
              <w:widowControl w:val="0"/>
              <w:kinsoku/>
              <w:adjustRightInd/>
              <w:snapToGrid/>
              <w:jc w:val="center"/>
              <w:textAlignment w:val="auto"/>
              <w:rPr>
                <w:rFonts w:ascii="仿宋" w:hAnsi="仿宋" w:eastAsia="仿宋" w:cs="仿宋"/>
                <w:color w:val="auto"/>
                <w:sz w:val="24"/>
                <w:szCs w:val="24"/>
              </w:rPr>
            </w:pPr>
          </w:p>
        </w:tc>
      </w:tr>
      <w:tr w14:paraId="269E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7010206E">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E787D8D">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30247096">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5A40D748">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43935F6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桩基构件位置和尺寸偏差</w:t>
            </w:r>
          </w:p>
        </w:tc>
        <w:tc>
          <w:tcPr>
            <w:tcW w:w="849" w:type="dxa"/>
            <w:noWrap w:val="0"/>
            <w:vAlign w:val="center"/>
          </w:tcPr>
          <w:p w14:paraId="5D6FC89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0A4A32D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4FD076D">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2116AD0A">
            <w:pPr>
              <w:widowControl w:val="0"/>
              <w:kinsoku/>
              <w:adjustRightInd/>
              <w:snapToGrid/>
              <w:jc w:val="center"/>
              <w:textAlignment w:val="auto"/>
              <w:rPr>
                <w:rFonts w:ascii="仿宋" w:hAnsi="仿宋" w:eastAsia="仿宋" w:cs="仿宋"/>
                <w:color w:val="auto"/>
                <w:sz w:val="24"/>
                <w:szCs w:val="24"/>
              </w:rPr>
            </w:pPr>
          </w:p>
        </w:tc>
      </w:tr>
      <w:tr w14:paraId="4CC6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5447885C">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0AA0749">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0804AF9C">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1C9F7170">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0C06DA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混凝土浇筑不全</w:t>
            </w:r>
          </w:p>
        </w:tc>
        <w:tc>
          <w:tcPr>
            <w:tcW w:w="849" w:type="dxa"/>
            <w:noWrap w:val="0"/>
            <w:vAlign w:val="center"/>
          </w:tcPr>
          <w:p w14:paraId="2DC17CF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007274E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EED3623">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7D73D0BD">
            <w:pPr>
              <w:widowControl w:val="0"/>
              <w:kinsoku/>
              <w:adjustRightInd/>
              <w:snapToGrid/>
              <w:jc w:val="center"/>
              <w:textAlignment w:val="auto"/>
              <w:rPr>
                <w:rFonts w:ascii="仿宋" w:hAnsi="仿宋" w:eastAsia="仿宋" w:cs="仿宋"/>
                <w:color w:val="auto"/>
                <w:sz w:val="24"/>
                <w:szCs w:val="24"/>
              </w:rPr>
            </w:pPr>
          </w:p>
        </w:tc>
      </w:tr>
      <w:tr w14:paraId="4FCB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15112839">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6676F6C">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6F396CEB">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5F9A3F88">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C8D324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混凝土强度不足</w:t>
            </w:r>
          </w:p>
        </w:tc>
        <w:tc>
          <w:tcPr>
            <w:tcW w:w="849" w:type="dxa"/>
            <w:noWrap w:val="0"/>
            <w:vAlign w:val="center"/>
          </w:tcPr>
          <w:p w14:paraId="3729A5DF">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5D96C1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2B00DB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9D71D7B">
            <w:pPr>
              <w:widowControl w:val="0"/>
              <w:kinsoku/>
              <w:adjustRightInd/>
              <w:snapToGrid/>
              <w:jc w:val="center"/>
              <w:textAlignment w:val="auto"/>
              <w:rPr>
                <w:rFonts w:ascii="仿宋" w:hAnsi="仿宋" w:eastAsia="仿宋" w:cs="仿宋"/>
                <w:color w:val="auto"/>
                <w:sz w:val="24"/>
                <w:szCs w:val="24"/>
              </w:rPr>
            </w:pPr>
          </w:p>
        </w:tc>
      </w:tr>
      <w:tr w14:paraId="33F6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1416608">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A4BB632">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7FB88E22">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2CA384C2">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2082DAB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焊接工艺差</w:t>
            </w:r>
          </w:p>
        </w:tc>
        <w:tc>
          <w:tcPr>
            <w:tcW w:w="849" w:type="dxa"/>
            <w:noWrap w:val="0"/>
            <w:vAlign w:val="center"/>
          </w:tcPr>
          <w:p w14:paraId="768FB6AE">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3AB2EEF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5D8F6D1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459C8FE7">
            <w:pPr>
              <w:widowControl w:val="0"/>
              <w:kinsoku/>
              <w:adjustRightInd/>
              <w:snapToGrid/>
              <w:jc w:val="center"/>
              <w:textAlignment w:val="auto"/>
              <w:rPr>
                <w:rFonts w:ascii="仿宋" w:hAnsi="仿宋" w:eastAsia="仿宋" w:cs="仿宋"/>
                <w:color w:val="auto"/>
                <w:sz w:val="24"/>
                <w:szCs w:val="24"/>
              </w:rPr>
            </w:pPr>
          </w:p>
        </w:tc>
      </w:tr>
      <w:tr w14:paraId="53E3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52347E86">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5F7A130E">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58500B8E">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25045D3E">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88AB41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荷载设计不足</w:t>
            </w:r>
          </w:p>
        </w:tc>
        <w:tc>
          <w:tcPr>
            <w:tcW w:w="849" w:type="dxa"/>
            <w:noWrap w:val="0"/>
            <w:vAlign w:val="center"/>
          </w:tcPr>
          <w:p w14:paraId="751A1A5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3EB466DC">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3EF7F8A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414EBBC0">
            <w:pPr>
              <w:widowControl w:val="0"/>
              <w:kinsoku/>
              <w:adjustRightInd/>
              <w:snapToGrid/>
              <w:jc w:val="center"/>
              <w:textAlignment w:val="auto"/>
              <w:rPr>
                <w:rFonts w:ascii="仿宋" w:hAnsi="仿宋" w:eastAsia="仿宋" w:cs="仿宋"/>
                <w:color w:val="auto"/>
                <w:sz w:val="24"/>
                <w:szCs w:val="24"/>
              </w:rPr>
            </w:pPr>
          </w:p>
        </w:tc>
      </w:tr>
      <w:tr w14:paraId="0AB6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76501B61">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D6154A2">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0911AB6A">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10C720C6">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542EEAD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荷载过大</w:t>
            </w:r>
          </w:p>
        </w:tc>
        <w:tc>
          <w:tcPr>
            <w:tcW w:w="849" w:type="dxa"/>
            <w:noWrap w:val="0"/>
            <w:vAlign w:val="center"/>
          </w:tcPr>
          <w:p w14:paraId="6FC33D4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21FCBC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5FA739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8302368">
            <w:pPr>
              <w:widowControl w:val="0"/>
              <w:kinsoku/>
              <w:adjustRightInd/>
              <w:snapToGrid/>
              <w:jc w:val="center"/>
              <w:textAlignment w:val="auto"/>
              <w:rPr>
                <w:rFonts w:ascii="仿宋" w:hAnsi="仿宋" w:eastAsia="仿宋" w:cs="仿宋"/>
                <w:color w:val="auto"/>
                <w:sz w:val="24"/>
                <w:szCs w:val="24"/>
              </w:rPr>
            </w:pPr>
          </w:p>
        </w:tc>
      </w:tr>
      <w:tr w14:paraId="4E83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E6C79D8">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E46FAC8">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6DBF65F2">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40797184">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13EF519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钢筋连接接头质量特别差</w:t>
            </w:r>
          </w:p>
        </w:tc>
        <w:tc>
          <w:tcPr>
            <w:tcW w:w="849" w:type="dxa"/>
            <w:noWrap w:val="0"/>
            <w:vAlign w:val="center"/>
          </w:tcPr>
          <w:p w14:paraId="26DCCBF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941BF5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6C1B6C4">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7EFCC57">
            <w:pPr>
              <w:widowControl w:val="0"/>
              <w:kinsoku/>
              <w:adjustRightInd/>
              <w:snapToGrid/>
              <w:jc w:val="center"/>
              <w:textAlignment w:val="auto"/>
              <w:rPr>
                <w:rFonts w:ascii="仿宋" w:hAnsi="仿宋" w:eastAsia="仿宋" w:cs="仿宋"/>
                <w:color w:val="auto"/>
                <w:sz w:val="24"/>
                <w:szCs w:val="24"/>
              </w:rPr>
            </w:pPr>
          </w:p>
        </w:tc>
      </w:tr>
      <w:tr w14:paraId="1F6E2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0E399C0D">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C127D15">
            <w:pPr>
              <w:widowControl w:val="0"/>
              <w:kinsoku/>
              <w:adjustRightInd/>
              <w:snapToGrid/>
              <w:jc w:val="center"/>
              <w:textAlignment w:val="auto"/>
              <w:rPr>
                <w:rFonts w:ascii="仿宋" w:hAnsi="仿宋" w:eastAsia="仿宋" w:cs="仿宋"/>
                <w:color w:val="auto"/>
                <w:sz w:val="24"/>
                <w:szCs w:val="24"/>
              </w:rPr>
            </w:pPr>
          </w:p>
        </w:tc>
        <w:tc>
          <w:tcPr>
            <w:tcW w:w="906" w:type="dxa"/>
            <w:vMerge w:val="continue"/>
            <w:noWrap w:val="0"/>
            <w:vAlign w:val="center"/>
          </w:tcPr>
          <w:p w14:paraId="40AC9DDA">
            <w:pPr>
              <w:widowControl w:val="0"/>
              <w:kinsoku/>
              <w:adjustRightInd/>
              <w:snapToGrid/>
              <w:jc w:val="center"/>
              <w:textAlignment w:val="auto"/>
              <w:rPr>
                <w:rFonts w:ascii="仿宋" w:hAnsi="仿宋" w:eastAsia="仿宋" w:cs="仿宋"/>
                <w:color w:val="auto"/>
                <w:sz w:val="24"/>
                <w:szCs w:val="24"/>
              </w:rPr>
            </w:pPr>
          </w:p>
        </w:tc>
        <w:tc>
          <w:tcPr>
            <w:tcW w:w="1699" w:type="dxa"/>
            <w:vMerge w:val="continue"/>
            <w:noWrap w:val="0"/>
            <w:vAlign w:val="center"/>
          </w:tcPr>
          <w:p w14:paraId="791CEADB">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94DE60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割除受力钢筋</w:t>
            </w:r>
          </w:p>
        </w:tc>
        <w:tc>
          <w:tcPr>
            <w:tcW w:w="849" w:type="dxa"/>
            <w:noWrap w:val="0"/>
            <w:vAlign w:val="center"/>
          </w:tcPr>
          <w:p w14:paraId="6530F310">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24DD971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A6603AB">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7A19ACE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7393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1882" w:type="dxa"/>
            <w:vMerge w:val="continue"/>
            <w:noWrap w:val="0"/>
            <w:vAlign w:val="center"/>
          </w:tcPr>
          <w:p w14:paraId="4BCD7D46">
            <w:pPr>
              <w:widowControl w:val="0"/>
              <w:kinsoku/>
              <w:adjustRightInd/>
              <w:snapToGrid/>
              <w:jc w:val="center"/>
              <w:textAlignment w:val="auto"/>
              <w:rPr>
                <w:rFonts w:ascii="仿宋" w:hAnsi="仿宋" w:eastAsia="仿宋" w:cs="仿宋"/>
                <w:color w:val="auto"/>
                <w:sz w:val="24"/>
                <w:szCs w:val="24"/>
              </w:rPr>
            </w:pPr>
          </w:p>
        </w:tc>
        <w:tc>
          <w:tcPr>
            <w:tcW w:w="1077" w:type="dxa"/>
            <w:vMerge w:val="restart"/>
            <w:noWrap w:val="0"/>
            <w:vAlign w:val="center"/>
          </w:tcPr>
          <w:p w14:paraId="2C88D0F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装配式结</w:t>
            </w:r>
          </w:p>
          <w:p w14:paraId="2BE2607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构</w:t>
            </w:r>
          </w:p>
        </w:tc>
        <w:tc>
          <w:tcPr>
            <w:tcW w:w="2605" w:type="dxa"/>
            <w:gridSpan w:val="2"/>
            <w:vMerge w:val="restart"/>
            <w:noWrap w:val="0"/>
            <w:vAlign w:val="center"/>
          </w:tcPr>
          <w:p w14:paraId="11C62F0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连接处裂缝、破坏、坍塌</w:t>
            </w:r>
          </w:p>
        </w:tc>
        <w:tc>
          <w:tcPr>
            <w:tcW w:w="2778" w:type="dxa"/>
            <w:noWrap w:val="0"/>
            <w:vAlign w:val="center"/>
          </w:tcPr>
          <w:p w14:paraId="233A127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连接设计不符合规范</w:t>
            </w:r>
          </w:p>
        </w:tc>
        <w:tc>
          <w:tcPr>
            <w:tcW w:w="849" w:type="dxa"/>
            <w:noWrap w:val="0"/>
            <w:vAlign w:val="center"/>
          </w:tcPr>
          <w:p w14:paraId="4C16FF4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535A92F5">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2BCBA17F">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23D7CD8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w:t>
            </w:r>
          </w:p>
          <w:p w14:paraId="5088B23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处理（判定为系统性风险的作为严重风险处理）</w:t>
            </w:r>
          </w:p>
        </w:tc>
      </w:tr>
      <w:tr w14:paraId="678D5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882" w:type="dxa"/>
            <w:vMerge w:val="continue"/>
            <w:noWrap w:val="0"/>
            <w:vAlign w:val="center"/>
          </w:tcPr>
          <w:p w14:paraId="5DCE3F86">
            <w:pPr>
              <w:pStyle w:val="11"/>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E6B5B27">
            <w:pPr>
              <w:pStyle w:val="11"/>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28BD42E0">
            <w:pPr>
              <w:pStyle w:val="11"/>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6E5603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套筒灌浆施工不规范</w:t>
            </w:r>
          </w:p>
        </w:tc>
        <w:tc>
          <w:tcPr>
            <w:tcW w:w="849" w:type="dxa"/>
            <w:noWrap w:val="0"/>
            <w:vAlign w:val="center"/>
          </w:tcPr>
          <w:p w14:paraId="3FED4EE8">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26185F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0EA27D3">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1AE6A449">
            <w:pPr>
              <w:pStyle w:val="11"/>
              <w:widowControl w:val="0"/>
              <w:kinsoku/>
              <w:adjustRightInd/>
              <w:snapToGrid/>
              <w:jc w:val="center"/>
              <w:textAlignment w:val="auto"/>
              <w:rPr>
                <w:rFonts w:ascii="仿宋" w:hAnsi="仿宋" w:eastAsia="仿宋" w:cs="仿宋"/>
                <w:color w:val="auto"/>
                <w:sz w:val="24"/>
                <w:szCs w:val="24"/>
              </w:rPr>
            </w:pPr>
          </w:p>
        </w:tc>
      </w:tr>
      <w:tr w14:paraId="57B2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398C38A">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BC2E69E">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7B480790">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DF5871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套筒钢筋连接施工不规范</w:t>
            </w:r>
          </w:p>
        </w:tc>
        <w:tc>
          <w:tcPr>
            <w:tcW w:w="849" w:type="dxa"/>
            <w:noWrap w:val="0"/>
            <w:vAlign w:val="center"/>
          </w:tcPr>
          <w:p w14:paraId="672F1E54">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525782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578554B">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1602F5D">
            <w:pPr>
              <w:widowControl w:val="0"/>
              <w:kinsoku/>
              <w:adjustRightInd/>
              <w:snapToGrid/>
              <w:jc w:val="center"/>
              <w:textAlignment w:val="auto"/>
              <w:rPr>
                <w:rFonts w:ascii="仿宋" w:hAnsi="仿宋" w:eastAsia="仿宋" w:cs="仿宋"/>
                <w:color w:val="auto"/>
                <w:sz w:val="24"/>
                <w:szCs w:val="24"/>
              </w:rPr>
            </w:pPr>
          </w:p>
        </w:tc>
      </w:tr>
      <w:tr w14:paraId="1611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7D660F42">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D692902">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195D607C">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4A4048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座浆料强度严重不达标</w:t>
            </w:r>
          </w:p>
        </w:tc>
        <w:tc>
          <w:tcPr>
            <w:tcW w:w="849" w:type="dxa"/>
            <w:noWrap w:val="0"/>
            <w:vAlign w:val="center"/>
          </w:tcPr>
          <w:p w14:paraId="1B79AF87">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FAA12F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DEF5017">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770AB4E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4B05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5523DF70">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8D9B61C">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restart"/>
            <w:noWrap w:val="0"/>
            <w:vAlign w:val="center"/>
          </w:tcPr>
          <w:p w14:paraId="1DB3D9F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构件裂缝、破坏、坍塌</w:t>
            </w:r>
          </w:p>
        </w:tc>
        <w:tc>
          <w:tcPr>
            <w:tcW w:w="2778" w:type="dxa"/>
            <w:noWrap w:val="0"/>
            <w:vAlign w:val="center"/>
          </w:tcPr>
          <w:p w14:paraId="643FD57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预制构件强度不足</w:t>
            </w:r>
          </w:p>
        </w:tc>
        <w:tc>
          <w:tcPr>
            <w:tcW w:w="849" w:type="dxa"/>
            <w:noWrap w:val="0"/>
            <w:vAlign w:val="center"/>
          </w:tcPr>
          <w:p w14:paraId="7A6CB4DB">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110AEE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9051DAE">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4BBBF9B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510D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6D8E7E7A">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6076C4D8">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24D6565D">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38B4AB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荷载过大</w:t>
            </w:r>
          </w:p>
        </w:tc>
        <w:tc>
          <w:tcPr>
            <w:tcW w:w="849" w:type="dxa"/>
            <w:noWrap w:val="0"/>
            <w:vAlign w:val="center"/>
          </w:tcPr>
          <w:p w14:paraId="226DEAF9">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321AFA1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3C58B8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09216D1D">
            <w:pPr>
              <w:widowControl w:val="0"/>
              <w:kinsoku/>
              <w:adjustRightInd/>
              <w:snapToGrid/>
              <w:jc w:val="center"/>
              <w:textAlignment w:val="auto"/>
              <w:rPr>
                <w:rFonts w:ascii="仿宋" w:hAnsi="仿宋" w:eastAsia="仿宋" w:cs="仿宋"/>
                <w:color w:val="auto"/>
                <w:sz w:val="24"/>
                <w:szCs w:val="24"/>
              </w:rPr>
            </w:pPr>
          </w:p>
        </w:tc>
      </w:tr>
      <w:tr w14:paraId="56FD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1D40A0B2">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70E6082">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5DE9529F">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DADEDA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荷载设计不足</w:t>
            </w:r>
          </w:p>
        </w:tc>
        <w:tc>
          <w:tcPr>
            <w:tcW w:w="849" w:type="dxa"/>
            <w:noWrap w:val="0"/>
            <w:vAlign w:val="center"/>
          </w:tcPr>
          <w:p w14:paraId="664183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828B5D7">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19DE2086">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59F59EAA">
            <w:pPr>
              <w:widowControl w:val="0"/>
              <w:kinsoku/>
              <w:adjustRightInd/>
              <w:snapToGrid/>
              <w:jc w:val="center"/>
              <w:textAlignment w:val="auto"/>
              <w:rPr>
                <w:rFonts w:ascii="仿宋" w:hAnsi="仿宋" w:eastAsia="仿宋" w:cs="仿宋"/>
                <w:color w:val="auto"/>
                <w:sz w:val="24"/>
                <w:szCs w:val="24"/>
              </w:rPr>
            </w:pPr>
          </w:p>
        </w:tc>
      </w:tr>
      <w:tr w14:paraId="3D85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053BC9B5">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5E5D0F1E">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485E60E3">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C6CC4A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未经设计同意，预制构件随意开槽（洞）或截断钢筋的</w:t>
            </w:r>
          </w:p>
        </w:tc>
        <w:tc>
          <w:tcPr>
            <w:tcW w:w="849" w:type="dxa"/>
            <w:noWrap w:val="0"/>
            <w:vAlign w:val="center"/>
          </w:tcPr>
          <w:p w14:paraId="1DACF73F">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088581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5E35441">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3311E6A4">
            <w:pPr>
              <w:widowControl w:val="0"/>
              <w:kinsoku/>
              <w:adjustRightInd/>
              <w:snapToGrid/>
              <w:jc w:val="center"/>
              <w:textAlignment w:val="auto"/>
              <w:rPr>
                <w:rFonts w:ascii="仿宋" w:hAnsi="仿宋" w:eastAsia="仿宋" w:cs="仿宋"/>
                <w:color w:val="auto"/>
                <w:sz w:val="24"/>
                <w:szCs w:val="24"/>
              </w:rPr>
            </w:pPr>
          </w:p>
        </w:tc>
      </w:tr>
      <w:tr w14:paraId="285D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32864C63">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0B5D474">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151734A2">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5C5E29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灌浆料超过质保期限的</w:t>
            </w:r>
          </w:p>
        </w:tc>
        <w:tc>
          <w:tcPr>
            <w:tcW w:w="849" w:type="dxa"/>
            <w:noWrap w:val="0"/>
            <w:vAlign w:val="center"/>
          </w:tcPr>
          <w:p w14:paraId="7F9FC55B">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31AFD0F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CADF61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029B23ED">
            <w:pPr>
              <w:widowControl w:val="0"/>
              <w:kinsoku/>
              <w:adjustRightInd/>
              <w:snapToGrid/>
              <w:jc w:val="center"/>
              <w:textAlignment w:val="auto"/>
              <w:rPr>
                <w:rFonts w:ascii="仿宋" w:hAnsi="仿宋" w:eastAsia="仿宋" w:cs="仿宋"/>
                <w:color w:val="auto"/>
                <w:sz w:val="24"/>
                <w:szCs w:val="24"/>
              </w:rPr>
            </w:pPr>
          </w:p>
        </w:tc>
      </w:tr>
      <w:tr w14:paraId="71CB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D33D907">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898F7B9">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43E6646D">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34E6894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PC墙板构件支撑严重不足</w:t>
            </w:r>
          </w:p>
        </w:tc>
        <w:tc>
          <w:tcPr>
            <w:tcW w:w="849" w:type="dxa"/>
            <w:noWrap w:val="0"/>
            <w:vAlign w:val="center"/>
          </w:tcPr>
          <w:p w14:paraId="1F4B6600">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1A970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A1CB0B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05F9F150">
            <w:pPr>
              <w:widowControl w:val="0"/>
              <w:kinsoku/>
              <w:adjustRightInd/>
              <w:snapToGrid/>
              <w:jc w:val="center"/>
              <w:textAlignment w:val="auto"/>
              <w:rPr>
                <w:rFonts w:ascii="仿宋" w:hAnsi="仿宋" w:eastAsia="仿宋" w:cs="仿宋"/>
                <w:color w:val="auto"/>
                <w:sz w:val="24"/>
                <w:szCs w:val="24"/>
              </w:rPr>
            </w:pPr>
          </w:p>
        </w:tc>
      </w:tr>
      <w:tr w14:paraId="6E27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7" w:hRule="atLeast"/>
        </w:trPr>
        <w:tc>
          <w:tcPr>
            <w:tcW w:w="1882" w:type="dxa"/>
            <w:noWrap w:val="0"/>
            <w:vAlign w:val="center"/>
          </w:tcPr>
          <w:p w14:paraId="6BE9F8E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六</w:t>
            </w:r>
            <w:r>
              <w:rPr>
                <w:rFonts w:hint="eastAsia" w:ascii="仿宋" w:hAnsi="仿宋" w:eastAsia="仿宋" w:cs="仿宋"/>
                <w:color w:val="auto"/>
                <w:sz w:val="24"/>
                <w:szCs w:val="24"/>
              </w:rPr>
              <w:t>年责任期</w:t>
            </w:r>
          </w:p>
          <w:p w14:paraId="5E08AB4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w:t>
            </w:r>
          </w:p>
        </w:tc>
        <w:tc>
          <w:tcPr>
            <w:tcW w:w="12548" w:type="dxa"/>
            <w:gridSpan w:val="8"/>
            <w:noWrap w:val="0"/>
            <w:vAlign w:val="center"/>
          </w:tcPr>
          <w:p w14:paraId="4C43342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见附录D1</w:t>
            </w:r>
          </w:p>
        </w:tc>
      </w:tr>
      <w:tr w14:paraId="533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882" w:type="dxa"/>
            <w:vMerge w:val="restart"/>
            <w:noWrap w:val="0"/>
            <w:vAlign w:val="center"/>
          </w:tcPr>
          <w:p w14:paraId="2F9CC98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五年责任期</w:t>
            </w:r>
          </w:p>
          <w:p w14:paraId="0F475E5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（保温）</w:t>
            </w:r>
          </w:p>
        </w:tc>
        <w:tc>
          <w:tcPr>
            <w:tcW w:w="1077" w:type="dxa"/>
            <w:vMerge w:val="restart"/>
            <w:noWrap w:val="0"/>
            <w:vAlign w:val="center"/>
          </w:tcPr>
          <w:p w14:paraId="23CCA0F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外保温</w:t>
            </w:r>
          </w:p>
        </w:tc>
        <w:tc>
          <w:tcPr>
            <w:tcW w:w="2605" w:type="dxa"/>
            <w:gridSpan w:val="2"/>
            <w:vMerge w:val="restart"/>
            <w:noWrap w:val="0"/>
            <w:vAlign w:val="center"/>
          </w:tcPr>
          <w:p w14:paraId="2627C52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外保温脱落、空鼓、开裂、厚度不足</w:t>
            </w:r>
          </w:p>
        </w:tc>
        <w:tc>
          <w:tcPr>
            <w:tcW w:w="2778" w:type="dxa"/>
            <w:noWrap w:val="0"/>
            <w:vAlign w:val="center"/>
          </w:tcPr>
          <w:p w14:paraId="6110116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保温构造设计不足</w:t>
            </w:r>
          </w:p>
        </w:tc>
        <w:tc>
          <w:tcPr>
            <w:tcW w:w="849" w:type="dxa"/>
            <w:noWrap w:val="0"/>
            <w:vAlign w:val="center"/>
          </w:tcPr>
          <w:p w14:paraId="2B3AD66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42688CE9">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22E83FF0">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44C1D16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4317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1882" w:type="dxa"/>
            <w:vMerge w:val="continue"/>
            <w:noWrap w:val="0"/>
            <w:vAlign w:val="center"/>
          </w:tcPr>
          <w:p w14:paraId="5D9235DF">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5AEA7962">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01E74F28">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A0A7DA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施工不规范</w:t>
            </w:r>
          </w:p>
        </w:tc>
        <w:tc>
          <w:tcPr>
            <w:tcW w:w="849" w:type="dxa"/>
            <w:noWrap w:val="0"/>
            <w:vAlign w:val="center"/>
          </w:tcPr>
          <w:p w14:paraId="7C8C95E1">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6145CB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D27B631">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6CA8DAE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74B4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82" w:type="dxa"/>
            <w:vMerge w:val="continue"/>
            <w:noWrap w:val="0"/>
            <w:vAlign w:val="center"/>
          </w:tcPr>
          <w:p w14:paraId="44F94FD8">
            <w:pPr>
              <w:pStyle w:val="11"/>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EE81BAE">
            <w:pPr>
              <w:pStyle w:val="11"/>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39B8CF5C">
            <w:pPr>
              <w:pStyle w:val="11"/>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836408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保温材料不合格</w:t>
            </w:r>
          </w:p>
        </w:tc>
        <w:tc>
          <w:tcPr>
            <w:tcW w:w="849" w:type="dxa"/>
            <w:noWrap w:val="0"/>
            <w:vAlign w:val="center"/>
          </w:tcPr>
          <w:p w14:paraId="581834D9">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AE3DE8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3344660">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6E63A62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1E79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trPr>
        <w:tc>
          <w:tcPr>
            <w:tcW w:w="1882" w:type="dxa"/>
            <w:vMerge w:val="continue"/>
            <w:noWrap w:val="0"/>
            <w:vAlign w:val="center"/>
          </w:tcPr>
          <w:p w14:paraId="2127BDA7">
            <w:pPr>
              <w:widowControl w:val="0"/>
              <w:kinsoku/>
              <w:adjustRightInd/>
              <w:snapToGrid/>
              <w:jc w:val="center"/>
              <w:textAlignment w:val="auto"/>
              <w:rPr>
                <w:rFonts w:ascii="仿宋" w:hAnsi="仿宋" w:eastAsia="仿宋" w:cs="仿宋"/>
                <w:color w:val="auto"/>
                <w:sz w:val="24"/>
                <w:szCs w:val="24"/>
              </w:rPr>
            </w:pPr>
          </w:p>
        </w:tc>
        <w:tc>
          <w:tcPr>
            <w:tcW w:w="1077" w:type="dxa"/>
            <w:noWrap w:val="0"/>
            <w:vAlign w:val="center"/>
          </w:tcPr>
          <w:p w14:paraId="799E140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w:t>
            </w:r>
          </w:p>
        </w:tc>
        <w:tc>
          <w:tcPr>
            <w:tcW w:w="2605" w:type="dxa"/>
            <w:gridSpan w:val="2"/>
            <w:noWrap w:val="0"/>
            <w:vAlign w:val="center"/>
          </w:tcPr>
          <w:p w14:paraId="6316FF2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保温层质量缺陷</w:t>
            </w:r>
          </w:p>
        </w:tc>
        <w:tc>
          <w:tcPr>
            <w:tcW w:w="2778" w:type="dxa"/>
            <w:noWrap w:val="0"/>
            <w:vAlign w:val="center"/>
          </w:tcPr>
          <w:p w14:paraId="74F5FFC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施工不规范</w:t>
            </w:r>
          </w:p>
        </w:tc>
        <w:tc>
          <w:tcPr>
            <w:tcW w:w="849" w:type="dxa"/>
            <w:noWrap w:val="0"/>
            <w:vAlign w:val="center"/>
          </w:tcPr>
          <w:p w14:paraId="3422F9F6">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96CE4C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753E59B">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4B9F9A3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42B0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trPr>
        <w:tc>
          <w:tcPr>
            <w:tcW w:w="1882" w:type="dxa"/>
            <w:vMerge w:val="restart"/>
            <w:noWrap w:val="0"/>
            <w:vAlign w:val="center"/>
          </w:tcPr>
          <w:p w14:paraId="0585D7F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两年责任期</w:t>
            </w:r>
          </w:p>
          <w:p w14:paraId="1918496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w:t>
            </w:r>
          </w:p>
        </w:tc>
        <w:tc>
          <w:tcPr>
            <w:tcW w:w="3682" w:type="dxa"/>
            <w:gridSpan w:val="3"/>
            <w:vMerge w:val="restart"/>
            <w:noWrap w:val="0"/>
            <w:vAlign w:val="center"/>
          </w:tcPr>
          <w:p w14:paraId="54AB519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涂料发霉</w:t>
            </w:r>
          </w:p>
        </w:tc>
        <w:tc>
          <w:tcPr>
            <w:tcW w:w="2778" w:type="dxa"/>
            <w:noWrap w:val="0"/>
            <w:vAlign w:val="center"/>
          </w:tcPr>
          <w:p w14:paraId="261D0BA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设计未要求</w:t>
            </w:r>
          </w:p>
        </w:tc>
        <w:tc>
          <w:tcPr>
            <w:tcW w:w="849" w:type="dxa"/>
            <w:noWrap w:val="0"/>
            <w:vAlign w:val="center"/>
          </w:tcPr>
          <w:p w14:paraId="252E4A1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B44E5A4">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3828C369">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45FDBE5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37832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69E12A2A">
            <w:pPr>
              <w:widowControl w:val="0"/>
              <w:kinsoku/>
              <w:adjustRightInd/>
              <w:snapToGrid/>
              <w:jc w:val="center"/>
              <w:textAlignment w:val="auto"/>
              <w:rPr>
                <w:rFonts w:ascii="仿宋" w:hAnsi="仿宋" w:eastAsia="仿宋" w:cs="仿宋"/>
                <w:color w:val="auto"/>
                <w:sz w:val="24"/>
                <w:szCs w:val="24"/>
              </w:rPr>
            </w:pPr>
          </w:p>
        </w:tc>
        <w:tc>
          <w:tcPr>
            <w:tcW w:w="3682" w:type="dxa"/>
            <w:gridSpan w:val="3"/>
            <w:vMerge w:val="continue"/>
            <w:noWrap w:val="0"/>
            <w:vAlign w:val="center"/>
          </w:tcPr>
          <w:p w14:paraId="62D5FF4B">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76C617F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基底层施工处理不规范</w:t>
            </w:r>
          </w:p>
        </w:tc>
        <w:tc>
          <w:tcPr>
            <w:tcW w:w="849" w:type="dxa"/>
            <w:noWrap w:val="0"/>
            <w:vAlign w:val="center"/>
          </w:tcPr>
          <w:p w14:paraId="4A8DAEC2">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D2F3AE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C81F6C6">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0FBAF8E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0931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1F159831">
            <w:pPr>
              <w:widowControl w:val="0"/>
              <w:kinsoku/>
              <w:adjustRightInd/>
              <w:snapToGrid/>
              <w:jc w:val="center"/>
              <w:textAlignment w:val="auto"/>
              <w:rPr>
                <w:rFonts w:ascii="仿宋" w:hAnsi="仿宋" w:eastAsia="仿宋" w:cs="仿宋"/>
                <w:color w:val="auto"/>
                <w:sz w:val="24"/>
                <w:szCs w:val="24"/>
                <w:lang w:eastAsia="zh-CN"/>
              </w:rPr>
            </w:pPr>
          </w:p>
        </w:tc>
        <w:tc>
          <w:tcPr>
            <w:tcW w:w="3682" w:type="dxa"/>
            <w:gridSpan w:val="3"/>
            <w:vMerge w:val="continue"/>
            <w:noWrap w:val="0"/>
            <w:vAlign w:val="center"/>
          </w:tcPr>
          <w:p w14:paraId="33125C62">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53BED4D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涂料不符合要求</w:t>
            </w:r>
          </w:p>
        </w:tc>
        <w:tc>
          <w:tcPr>
            <w:tcW w:w="849" w:type="dxa"/>
            <w:noWrap w:val="0"/>
            <w:vAlign w:val="center"/>
          </w:tcPr>
          <w:p w14:paraId="504E9B38">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36CA5C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B182B06">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78E2FE8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14CA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00A80AF0">
            <w:pPr>
              <w:widowControl w:val="0"/>
              <w:kinsoku/>
              <w:adjustRightInd/>
              <w:snapToGrid/>
              <w:jc w:val="center"/>
              <w:textAlignment w:val="auto"/>
              <w:rPr>
                <w:rFonts w:ascii="仿宋" w:hAnsi="仿宋" w:eastAsia="仿宋" w:cs="仿宋"/>
                <w:color w:val="auto"/>
                <w:sz w:val="24"/>
                <w:szCs w:val="24"/>
              </w:rPr>
            </w:pPr>
          </w:p>
        </w:tc>
        <w:tc>
          <w:tcPr>
            <w:tcW w:w="3682" w:type="dxa"/>
            <w:gridSpan w:val="3"/>
            <w:vMerge w:val="restart"/>
            <w:noWrap w:val="0"/>
            <w:vAlign w:val="center"/>
          </w:tcPr>
          <w:p w14:paraId="3CD45FA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装饰面脱落、裂缝、破损、空鼓</w:t>
            </w:r>
          </w:p>
        </w:tc>
        <w:tc>
          <w:tcPr>
            <w:tcW w:w="2778" w:type="dxa"/>
            <w:noWrap w:val="0"/>
            <w:vAlign w:val="center"/>
          </w:tcPr>
          <w:p w14:paraId="789B14E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施工不规范</w:t>
            </w:r>
          </w:p>
        </w:tc>
        <w:tc>
          <w:tcPr>
            <w:tcW w:w="849" w:type="dxa"/>
            <w:noWrap w:val="0"/>
            <w:vAlign w:val="center"/>
          </w:tcPr>
          <w:p w14:paraId="07E2D67D">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24E2300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0636741">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39B465D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4693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1882" w:type="dxa"/>
            <w:vMerge w:val="continue"/>
            <w:noWrap w:val="0"/>
            <w:vAlign w:val="center"/>
          </w:tcPr>
          <w:p w14:paraId="33A1F48B">
            <w:pPr>
              <w:widowControl w:val="0"/>
              <w:kinsoku/>
              <w:adjustRightInd/>
              <w:snapToGrid/>
              <w:jc w:val="center"/>
              <w:textAlignment w:val="auto"/>
              <w:rPr>
                <w:rFonts w:ascii="仿宋" w:hAnsi="仿宋" w:eastAsia="仿宋" w:cs="仿宋"/>
                <w:color w:val="auto"/>
                <w:sz w:val="24"/>
                <w:szCs w:val="24"/>
                <w:lang w:eastAsia="zh-CN"/>
              </w:rPr>
            </w:pPr>
          </w:p>
        </w:tc>
        <w:tc>
          <w:tcPr>
            <w:tcW w:w="3682" w:type="dxa"/>
            <w:gridSpan w:val="3"/>
            <w:vMerge w:val="continue"/>
            <w:noWrap w:val="0"/>
            <w:vAlign w:val="center"/>
          </w:tcPr>
          <w:p w14:paraId="39F82FBB">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21ACAD6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装饰面材料不合格</w:t>
            </w:r>
          </w:p>
        </w:tc>
        <w:tc>
          <w:tcPr>
            <w:tcW w:w="849" w:type="dxa"/>
            <w:noWrap w:val="0"/>
            <w:vAlign w:val="center"/>
          </w:tcPr>
          <w:p w14:paraId="54326A05">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9AA6A0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5F3C6A68">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5A3FCAD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41C3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72E0EF35">
            <w:pPr>
              <w:widowControl w:val="0"/>
              <w:kinsoku/>
              <w:adjustRightInd/>
              <w:snapToGrid/>
              <w:jc w:val="center"/>
              <w:textAlignment w:val="auto"/>
              <w:rPr>
                <w:rFonts w:ascii="仿宋" w:hAnsi="仿宋" w:eastAsia="仿宋" w:cs="仿宋"/>
                <w:color w:val="auto"/>
                <w:sz w:val="24"/>
                <w:szCs w:val="24"/>
              </w:rPr>
            </w:pPr>
          </w:p>
        </w:tc>
        <w:tc>
          <w:tcPr>
            <w:tcW w:w="3682" w:type="dxa"/>
            <w:gridSpan w:val="3"/>
            <w:vMerge w:val="continue"/>
            <w:noWrap w:val="0"/>
            <w:vAlign w:val="center"/>
          </w:tcPr>
          <w:p w14:paraId="3181BF8C">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6AAFFF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幕墙龙骨施工质量差或未按设计节点施工</w:t>
            </w:r>
          </w:p>
        </w:tc>
        <w:tc>
          <w:tcPr>
            <w:tcW w:w="849" w:type="dxa"/>
            <w:noWrap w:val="0"/>
            <w:vAlign w:val="center"/>
          </w:tcPr>
          <w:p w14:paraId="1E51340C">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2C5FD0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8D26009">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0ED2446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76A9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6" w:hRule="atLeast"/>
        </w:trPr>
        <w:tc>
          <w:tcPr>
            <w:tcW w:w="1882" w:type="dxa"/>
            <w:vMerge w:val="continue"/>
            <w:noWrap w:val="0"/>
            <w:vAlign w:val="center"/>
          </w:tcPr>
          <w:p w14:paraId="2A9696E4">
            <w:pPr>
              <w:widowControl w:val="0"/>
              <w:kinsoku/>
              <w:adjustRightInd/>
              <w:snapToGrid/>
              <w:jc w:val="center"/>
              <w:textAlignment w:val="auto"/>
              <w:rPr>
                <w:rFonts w:ascii="仿宋" w:hAnsi="仿宋" w:eastAsia="仿宋" w:cs="仿宋"/>
                <w:color w:val="auto"/>
                <w:sz w:val="24"/>
                <w:szCs w:val="24"/>
                <w:lang w:eastAsia="zh-CN"/>
              </w:rPr>
            </w:pPr>
          </w:p>
        </w:tc>
        <w:tc>
          <w:tcPr>
            <w:tcW w:w="3682" w:type="dxa"/>
            <w:gridSpan w:val="3"/>
            <w:noWrap w:val="0"/>
            <w:vAlign w:val="center"/>
          </w:tcPr>
          <w:p w14:paraId="307DEB5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装饰线条脱落</w:t>
            </w:r>
          </w:p>
        </w:tc>
        <w:tc>
          <w:tcPr>
            <w:tcW w:w="2778" w:type="dxa"/>
            <w:noWrap w:val="0"/>
            <w:vAlign w:val="center"/>
          </w:tcPr>
          <w:p w14:paraId="21FEA6D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施工工艺和节点构造不符合设计要求</w:t>
            </w:r>
          </w:p>
        </w:tc>
        <w:tc>
          <w:tcPr>
            <w:tcW w:w="849" w:type="dxa"/>
            <w:noWrap w:val="0"/>
            <w:vAlign w:val="center"/>
          </w:tcPr>
          <w:p w14:paraId="3D3DC00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2087678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B9D0BC9">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1DDDDB8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6AF7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trPr>
        <w:tc>
          <w:tcPr>
            <w:tcW w:w="1882" w:type="dxa"/>
            <w:vMerge w:val="continue"/>
            <w:noWrap w:val="0"/>
            <w:vAlign w:val="center"/>
          </w:tcPr>
          <w:p w14:paraId="5B4BA5B9">
            <w:pPr>
              <w:widowControl w:val="0"/>
              <w:kinsoku/>
              <w:adjustRightInd/>
              <w:snapToGrid/>
              <w:jc w:val="center"/>
              <w:textAlignment w:val="auto"/>
              <w:rPr>
                <w:rFonts w:ascii="仿宋" w:hAnsi="仿宋" w:eastAsia="仿宋" w:cs="仿宋"/>
                <w:color w:val="auto"/>
                <w:sz w:val="24"/>
                <w:szCs w:val="24"/>
                <w:lang w:eastAsia="zh-CN"/>
              </w:rPr>
            </w:pPr>
          </w:p>
        </w:tc>
        <w:tc>
          <w:tcPr>
            <w:tcW w:w="3682" w:type="dxa"/>
            <w:gridSpan w:val="3"/>
            <w:noWrap w:val="0"/>
            <w:vAlign w:val="center"/>
          </w:tcPr>
          <w:p w14:paraId="0D4B13A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装饰面垂直度、水平度差</w:t>
            </w:r>
          </w:p>
        </w:tc>
        <w:tc>
          <w:tcPr>
            <w:tcW w:w="2778" w:type="dxa"/>
            <w:noWrap w:val="0"/>
            <w:vAlign w:val="center"/>
          </w:tcPr>
          <w:p w14:paraId="7DC887B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施工人员水平不足、施工交底、施工工艺不规范</w:t>
            </w:r>
          </w:p>
        </w:tc>
        <w:tc>
          <w:tcPr>
            <w:tcW w:w="849" w:type="dxa"/>
            <w:noWrap w:val="0"/>
            <w:vAlign w:val="center"/>
          </w:tcPr>
          <w:p w14:paraId="2DECFA82">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23066F7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1D0065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1D3D32E3">
            <w:pPr>
              <w:widowControl w:val="0"/>
              <w:kinsoku/>
              <w:adjustRightInd/>
              <w:snapToGrid/>
              <w:jc w:val="center"/>
              <w:textAlignment w:val="auto"/>
              <w:rPr>
                <w:rFonts w:ascii="仿宋" w:hAnsi="仿宋" w:eastAsia="仿宋" w:cs="仿宋"/>
                <w:color w:val="auto"/>
                <w:sz w:val="24"/>
                <w:szCs w:val="24"/>
              </w:rPr>
            </w:pPr>
          </w:p>
        </w:tc>
      </w:tr>
      <w:tr w14:paraId="3B7C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28A417D6">
            <w:pPr>
              <w:widowControl w:val="0"/>
              <w:kinsoku/>
              <w:adjustRightInd/>
              <w:snapToGrid/>
              <w:jc w:val="center"/>
              <w:textAlignment w:val="auto"/>
              <w:rPr>
                <w:rFonts w:ascii="仿宋" w:hAnsi="仿宋" w:eastAsia="仿宋" w:cs="仿宋"/>
                <w:color w:val="auto"/>
                <w:sz w:val="24"/>
                <w:szCs w:val="24"/>
              </w:rPr>
            </w:pPr>
          </w:p>
        </w:tc>
        <w:tc>
          <w:tcPr>
            <w:tcW w:w="3682" w:type="dxa"/>
            <w:gridSpan w:val="3"/>
            <w:vMerge w:val="restart"/>
            <w:noWrap w:val="0"/>
            <w:vAlign w:val="center"/>
          </w:tcPr>
          <w:p w14:paraId="455673F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防火门使用、安装不合格</w:t>
            </w:r>
          </w:p>
        </w:tc>
        <w:tc>
          <w:tcPr>
            <w:tcW w:w="2778" w:type="dxa"/>
            <w:noWrap w:val="0"/>
            <w:vAlign w:val="center"/>
          </w:tcPr>
          <w:p w14:paraId="160A711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防火门设计不符合要求</w:t>
            </w:r>
          </w:p>
        </w:tc>
        <w:tc>
          <w:tcPr>
            <w:tcW w:w="849" w:type="dxa"/>
            <w:noWrap w:val="0"/>
            <w:vAlign w:val="center"/>
          </w:tcPr>
          <w:p w14:paraId="717F6EF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30180B7F">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09D050FC">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2E7C53E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2B4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882" w:type="dxa"/>
            <w:vMerge w:val="continue"/>
            <w:noWrap w:val="0"/>
            <w:vAlign w:val="center"/>
          </w:tcPr>
          <w:p w14:paraId="7E169294">
            <w:pPr>
              <w:widowControl w:val="0"/>
              <w:kinsoku/>
              <w:adjustRightInd/>
              <w:snapToGrid/>
              <w:jc w:val="center"/>
              <w:textAlignment w:val="auto"/>
              <w:rPr>
                <w:rFonts w:ascii="仿宋" w:hAnsi="仿宋" w:eastAsia="仿宋" w:cs="仿宋"/>
                <w:color w:val="auto"/>
                <w:sz w:val="24"/>
                <w:szCs w:val="24"/>
              </w:rPr>
            </w:pPr>
          </w:p>
        </w:tc>
        <w:tc>
          <w:tcPr>
            <w:tcW w:w="3682" w:type="dxa"/>
            <w:gridSpan w:val="3"/>
            <w:vMerge w:val="continue"/>
            <w:noWrap w:val="0"/>
            <w:vAlign w:val="center"/>
          </w:tcPr>
          <w:p w14:paraId="6D7D93EB">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196FBC4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防火门质量不合格</w:t>
            </w:r>
          </w:p>
        </w:tc>
        <w:tc>
          <w:tcPr>
            <w:tcW w:w="849" w:type="dxa"/>
            <w:noWrap w:val="0"/>
            <w:vAlign w:val="center"/>
          </w:tcPr>
          <w:p w14:paraId="5E8FE7C6">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091F137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4DF938E">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0DBFD81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1B4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restart"/>
            <w:noWrap w:val="0"/>
            <w:vAlign w:val="center"/>
          </w:tcPr>
          <w:p w14:paraId="6FCA0A2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两年责任期</w:t>
            </w:r>
          </w:p>
          <w:p w14:paraId="00B0EF6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（机电安装）</w:t>
            </w:r>
          </w:p>
        </w:tc>
        <w:tc>
          <w:tcPr>
            <w:tcW w:w="1077" w:type="dxa"/>
            <w:vMerge w:val="restart"/>
            <w:noWrap w:val="0"/>
            <w:vAlign w:val="center"/>
          </w:tcPr>
          <w:p w14:paraId="04134BC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电气工程</w:t>
            </w:r>
          </w:p>
        </w:tc>
        <w:tc>
          <w:tcPr>
            <w:tcW w:w="2605" w:type="dxa"/>
            <w:gridSpan w:val="2"/>
            <w:vMerge w:val="restart"/>
            <w:noWrap w:val="0"/>
            <w:vAlign w:val="center"/>
          </w:tcPr>
          <w:p w14:paraId="25C92C1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屋面、机电系统防雷系统隐患</w:t>
            </w:r>
          </w:p>
        </w:tc>
        <w:tc>
          <w:tcPr>
            <w:tcW w:w="2778" w:type="dxa"/>
            <w:noWrap w:val="0"/>
            <w:vAlign w:val="center"/>
          </w:tcPr>
          <w:p w14:paraId="106AED7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设计缺失、不规范</w:t>
            </w:r>
          </w:p>
        </w:tc>
        <w:tc>
          <w:tcPr>
            <w:tcW w:w="849" w:type="dxa"/>
            <w:noWrap w:val="0"/>
            <w:vAlign w:val="center"/>
          </w:tcPr>
          <w:p w14:paraId="1123ACA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75378874">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0FAB87C4">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597FAB5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3804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126BD2E8">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63C3E858">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1202675E">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4F32071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高于屋面的女儿墙、构架、金属栏杆、爬梯、金属楼梯防雷接地缺失或失效</w:t>
            </w:r>
          </w:p>
        </w:tc>
        <w:tc>
          <w:tcPr>
            <w:tcW w:w="849" w:type="dxa"/>
            <w:noWrap w:val="0"/>
            <w:vAlign w:val="center"/>
          </w:tcPr>
          <w:p w14:paraId="1B892324">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886A4C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8862FF0">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6185B9B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w:t>
            </w:r>
          </w:p>
          <w:p w14:paraId="4F2F66C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处理（判定为系统性风险的作为严重风险处理）</w:t>
            </w:r>
          </w:p>
        </w:tc>
      </w:tr>
      <w:tr w14:paraId="2DC1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8" w:hRule="atLeast"/>
        </w:trPr>
        <w:tc>
          <w:tcPr>
            <w:tcW w:w="1882" w:type="dxa"/>
            <w:vMerge w:val="continue"/>
            <w:noWrap w:val="0"/>
            <w:vAlign w:val="center"/>
          </w:tcPr>
          <w:p w14:paraId="1520EA10">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02673A4B">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restart"/>
            <w:noWrap w:val="0"/>
            <w:vAlign w:val="center"/>
          </w:tcPr>
          <w:p w14:paraId="781235A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等电位联结失效</w:t>
            </w:r>
          </w:p>
        </w:tc>
        <w:tc>
          <w:tcPr>
            <w:tcW w:w="2778" w:type="dxa"/>
            <w:noWrap w:val="0"/>
            <w:vAlign w:val="center"/>
          </w:tcPr>
          <w:p w14:paraId="57C5110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设备机房包括电梯机房、排烟兼通风机房、消防泵房、水箱间等，未设置保护接地装置或局部等电位</w:t>
            </w:r>
          </w:p>
        </w:tc>
        <w:tc>
          <w:tcPr>
            <w:tcW w:w="849" w:type="dxa"/>
            <w:noWrap w:val="0"/>
            <w:vAlign w:val="center"/>
          </w:tcPr>
          <w:p w14:paraId="2811AAC6">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95AFDC0">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312651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3BFFB2C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4FEE2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5A89D145">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18AB23EE">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continue"/>
            <w:noWrap w:val="0"/>
            <w:vAlign w:val="center"/>
          </w:tcPr>
          <w:p w14:paraId="0718C1C1">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45423A2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卫生间等电位缺失或失效</w:t>
            </w:r>
          </w:p>
        </w:tc>
        <w:tc>
          <w:tcPr>
            <w:tcW w:w="849" w:type="dxa"/>
            <w:noWrap w:val="0"/>
            <w:vAlign w:val="center"/>
          </w:tcPr>
          <w:p w14:paraId="2FB0259B">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31BF98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4B5CFA9">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E3ACC13">
            <w:pPr>
              <w:widowControl w:val="0"/>
              <w:kinsoku/>
              <w:adjustRightInd/>
              <w:snapToGrid/>
              <w:jc w:val="center"/>
              <w:textAlignment w:val="auto"/>
              <w:rPr>
                <w:rFonts w:ascii="仿宋" w:hAnsi="仿宋" w:eastAsia="仿宋" w:cs="仿宋"/>
                <w:color w:val="auto"/>
                <w:sz w:val="24"/>
                <w:szCs w:val="24"/>
              </w:rPr>
            </w:pPr>
          </w:p>
        </w:tc>
      </w:tr>
      <w:tr w14:paraId="0E35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3" w:hRule="atLeast"/>
        </w:trPr>
        <w:tc>
          <w:tcPr>
            <w:tcW w:w="1882" w:type="dxa"/>
            <w:vMerge w:val="continue"/>
            <w:noWrap w:val="0"/>
            <w:vAlign w:val="center"/>
          </w:tcPr>
          <w:p w14:paraId="5F462357">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C16A036">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529E91C3">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43FE15B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高层金属外窗、金属、石材幕墙角钢支架或金属构件</w:t>
            </w:r>
            <w:r>
              <w:rPr>
                <w:rFonts w:hint="eastAsia" w:ascii="仿宋" w:hAnsi="仿宋" w:eastAsia="仿宋" w:cs="仿宋"/>
                <w:color w:val="auto"/>
                <w:sz w:val="24"/>
                <w:szCs w:val="24"/>
                <w:lang w:eastAsia="zh-CN"/>
              </w:rPr>
              <w:t>防雷接地</w:t>
            </w:r>
            <w:r>
              <w:rPr>
                <w:rFonts w:hint="eastAsia" w:ascii="仿宋" w:hAnsi="仿宋" w:eastAsia="仿宋" w:cs="仿宋"/>
                <w:color w:val="auto"/>
                <w:sz w:val="24"/>
                <w:szCs w:val="24"/>
              </w:rPr>
              <w:t>缺失或失效</w:t>
            </w:r>
          </w:p>
        </w:tc>
        <w:tc>
          <w:tcPr>
            <w:tcW w:w="849" w:type="dxa"/>
            <w:noWrap w:val="0"/>
            <w:vAlign w:val="center"/>
          </w:tcPr>
          <w:p w14:paraId="56E346E7">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C8A13C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C87E1D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0D203929">
            <w:pPr>
              <w:widowControl w:val="0"/>
              <w:kinsoku/>
              <w:adjustRightInd/>
              <w:snapToGrid/>
              <w:jc w:val="center"/>
              <w:textAlignment w:val="auto"/>
              <w:rPr>
                <w:rFonts w:ascii="仿宋" w:hAnsi="仿宋" w:eastAsia="仿宋" w:cs="仿宋"/>
                <w:color w:val="auto"/>
                <w:sz w:val="24"/>
                <w:szCs w:val="24"/>
              </w:rPr>
            </w:pPr>
          </w:p>
        </w:tc>
      </w:tr>
      <w:tr w14:paraId="0E40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5526154E">
            <w:pPr>
              <w:pStyle w:val="11"/>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20881ACC">
            <w:pPr>
              <w:pStyle w:val="11"/>
              <w:widowControl w:val="0"/>
              <w:kinsoku/>
              <w:adjustRightInd/>
              <w:snapToGrid/>
              <w:jc w:val="center"/>
              <w:textAlignment w:val="auto"/>
              <w:rPr>
                <w:rFonts w:ascii="仿宋" w:hAnsi="仿宋" w:eastAsia="仿宋" w:cs="仿宋"/>
                <w:color w:val="auto"/>
                <w:sz w:val="24"/>
                <w:szCs w:val="24"/>
              </w:rPr>
            </w:pPr>
          </w:p>
        </w:tc>
        <w:tc>
          <w:tcPr>
            <w:tcW w:w="2605" w:type="dxa"/>
            <w:gridSpan w:val="2"/>
            <w:noWrap w:val="0"/>
            <w:vAlign w:val="center"/>
          </w:tcPr>
          <w:p w14:paraId="5610169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负荷计算错误</w:t>
            </w:r>
          </w:p>
        </w:tc>
        <w:tc>
          <w:tcPr>
            <w:tcW w:w="2778" w:type="dxa"/>
            <w:noWrap w:val="0"/>
            <w:vAlign w:val="center"/>
          </w:tcPr>
          <w:p w14:paraId="439CC94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负荷计算错误，导致设计电缆载流量过小，不能确保设备正常运行。</w:t>
            </w:r>
          </w:p>
        </w:tc>
        <w:tc>
          <w:tcPr>
            <w:tcW w:w="849" w:type="dxa"/>
            <w:noWrap w:val="0"/>
            <w:vAlign w:val="center"/>
          </w:tcPr>
          <w:p w14:paraId="7397BB9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C956137">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459316D0">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4D31881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284F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189F0D83">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04162D86">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restart"/>
            <w:noWrap w:val="0"/>
            <w:vAlign w:val="center"/>
          </w:tcPr>
          <w:p w14:paraId="0C37E67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电缆过载</w:t>
            </w:r>
          </w:p>
        </w:tc>
        <w:tc>
          <w:tcPr>
            <w:tcW w:w="2778" w:type="dxa"/>
            <w:noWrap w:val="0"/>
            <w:vAlign w:val="center"/>
          </w:tcPr>
          <w:p w14:paraId="0497896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电梯、水泵、风机等设备供电电缆过小，不能</w:t>
            </w:r>
            <w:r>
              <w:rPr>
                <w:rFonts w:hint="eastAsia" w:ascii="仿宋" w:hAnsi="仿宋" w:eastAsia="仿宋" w:cs="仿宋"/>
                <w:color w:val="auto"/>
                <w:sz w:val="24"/>
                <w:szCs w:val="24"/>
                <w:lang w:eastAsia="zh-CN"/>
              </w:rPr>
              <w:t>确保</w:t>
            </w:r>
            <w:r>
              <w:rPr>
                <w:rFonts w:hint="eastAsia" w:ascii="仿宋" w:hAnsi="仿宋" w:eastAsia="仿宋" w:cs="仿宋"/>
                <w:color w:val="auto"/>
                <w:sz w:val="24"/>
                <w:szCs w:val="24"/>
              </w:rPr>
              <w:t>设备正常运行。</w:t>
            </w:r>
          </w:p>
        </w:tc>
        <w:tc>
          <w:tcPr>
            <w:tcW w:w="849" w:type="dxa"/>
            <w:noWrap w:val="0"/>
            <w:vAlign w:val="center"/>
          </w:tcPr>
          <w:p w14:paraId="670F316D">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27B2EC6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92EC2DC">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617019F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B038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0144A1E8">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6F72A807">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continue"/>
            <w:noWrap w:val="0"/>
            <w:vAlign w:val="center"/>
          </w:tcPr>
          <w:p w14:paraId="60039785">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0166D9C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用两根小规格电缆替代大规格电缆。</w:t>
            </w:r>
          </w:p>
        </w:tc>
        <w:tc>
          <w:tcPr>
            <w:tcW w:w="849" w:type="dxa"/>
            <w:noWrap w:val="0"/>
            <w:vAlign w:val="center"/>
          </w:tcPr>
          <w:p w14:paraId="626AE2E4">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19CB0BE4">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0046FA9D">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DF5561C">
            <w:pPr>
              <w:widowControl w:val="0"/>
              <w:kinsoku/>
              <w:adjustRightInd/>
              <w:snapToGrid/>
              <w:jc w:val="center"/>
              <w:textAlignment w:val="auto"/>
              <w:rPr>
                <w:rFonts w:ascii="仿宋" w:hAnsi="仿宋" w:eastAsia="仿宋" w:cs="仿宋"/>
                <w:color w:val="auto"/>
                <w:sz w:val="24"/>
                <w:szCs w:val="24"/>
                <w:lang w:eastAsia="zh-CN"/>
              </w:rPr>
            </w:pPr>
          </w:p>
        </w:tc>
      </w:tr>
      <w:tr w14:paraId="1C98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3466FEB6">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0E86B8D8">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noWrap w:val="0"/>
            <w:vAlign w:val="center"/>
          </w:tcPr>
          <w:p w14:paraId="4DEDBF5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电缆耐火时间不足</w:t>
            </w:r>
          </w:p>
        </w:tc>
        <w:tc>
          <w:tcPr>
            <w:tcW w:w="2778" w:type="dxa"/>
            <w:noWrap w:val="0"/>
            <w:vAlign w:val="center"/>
          </w:tcPr>
          <w:p w14:paraId="13B3866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消防设备、设施供电电缆未采用耐火或矿物质电缆</w:t>
            </w:r>
          </w:p>
        </w:tc>
        <w:tc>
          <w:tcPr>
            <w:tcW w:w="849" w:type="dxa"/>
            <w:noWrap w:val="0"/>
            <w:vAlign w:val="center"/>
          </w:tcPr>
          <w:p w14:paraId="7BA4C08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563C51C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F569FF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3681" w:type="dxa"/>
            <w:vMerge w:val="restart"/>
            <w:noWrap w:val="0"/>
            <w:vAlign w:val="center"/>
          </w:tcPr>
          <w:p w14:paraId="513EFFD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7B5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2042D47C">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2C033484">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noWrap w:val="0"/>
            <w:vAlign w:val="center"/>
          </w:tcPr>
          <w:p w14:paraId="0B32D84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被动防火和主动防火系统功能缺失</w:t>
            </w:r>
          </w:p>
        </w:tc>
        <w:tc>
          <w:tcPr>
            <w:tcW w:w="2778" w:type="dxa"/>
            <w:noWrap w:val="0"/>
            <w:vAlign w:val="center"/>
          </w:tcPr>
          <w:p w14:paraId="02D1E85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消防联动功能失效</w:t>
            </w:r>
          </w:p>
        </w:tc>
        <w:tc>
          <w:tcPr>
            <w:tcW w:w="849" w:type="dxa"/>
            <w:noWrap w:val="0"/>
            <w:vAlign w:val="center"/>
          </w:tcPr>
          <w:p w14:paraId="11BBA4E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233700A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6B9B45E9">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1E39D18B">
            <w:pPr>
              <w:widowControl w:val="0"/>
              <w:kinsoku/>
              <w:adjustRightInd/>
              <w:snapToGrid/>
              <w:jc w:val="center"/>
              <w:textAlignment w:val="auto"/>
              <w:rPr>
                <w:rFonts w:ascii="仿宋" w:hAnsi="仿宋" w:eastAsia="仿宋" w:cs="仿宋"/>
                <w:color w:val="auto"/>
                <w:sz w:val="24"/>
                <w:szCs w:val="24"/>
              </w:rPr>
            </w:pPr>
          </w:p>
        </w:tc>
      </w:tr>
      <w:tr w14:paraId="1084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7C14C294">
            <w:pPr>
              <w:widowControl w:val="0"/>
              <w:kinsoku/>
              <w:adjustRightInd/>
              <w:snapToGrid/>
              <w:jc w:val="center"/>
              <w:textAlignment w:val="auto"/>
              <w:rPr>
                <w:rFonts w:ascii="仿宋" w:hAnsi="仿宋" w:eastAsia="仿宋" w:cs="仿宋"/>
                <w:color w:val="auto"/>
                <w:sz w:val="24"/>
                <w:szCs w:val="24"/>
              </w:rPr>
            </w:pPr>
          </w:p>
        </w:tc>
        <w:tc>
          <w:tcPr>
            <w:tcW w:w="1077" w:type="dxa"/>
            <w:vMerge w:val="restart"/>
            <w:noWrap w:val="0"/>
            <w:vAlign w:val="center"/>
          </w:tcPr>
          <w:p w14:paraId="2629D10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给排水工</w:t>
            </w:r>
          </w:p>
          <w:p w14:paraId="0D863D6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程</w:t>
            </w:r>
          </w:p>
        </w:tc>
        <w:tc>
          <w:tcPr>
            <w:tcW w:w="2605" w:type="dxa"/>
            <w:gridSpan w:val="2"/>
            <w:noWrap w:val="0"/>
            <w:vAlign w:val="center"/>
          </w:tcPr>
          <w:p w14:paraId="79FBDA6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刚性防水套管缺失</w:t>
            </w:r>
          </w:p>
        </w:tc>
        <w:tc>
          <w:tcPr>
            <w:tcW w:w="2778" w:type="dxa"/>
            <w:noWrap w:val="0"/>
            <w:vAlign w:val="center"/>
          </w:tcPr>
          <w:p w14:paraId="40F8B66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穿地下室外墙、水箱、屋面未采用刚性防水套管。</w:t>
            </w:r>
          </w:p>
        </w:tc>
        <w:tc>
          <w:tcPr>
            <w:tcW w:w="849" w:type="dxa"/>
            <w:noWrap w:val="0"/>
            <w:vAlign w:val="center"/>
          </w:tcPr>
          <w:p w14:paraId="62F3E6FD">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741DC1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FCFC37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4B103EC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1F6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8" w:hRule="atLeast"/>
        </w:trPr>
        <w:tc>
          <w:tcPr>
            <w:tcW w:w="1882" w:type="dxa"/>
            <w:vMerge w:val="continue"/>
            <w:noWrap w:val="0"/>
            <w:vAlign w:val="center"/>
          </w:tcPr>
          <w:p w14:paraId="16505F9A">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739633C4">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restart"/>
            <w:noWrap w:val="0"/>
            <w:vAlign w:val="center"/>
          </w:tcPr>
          <w:p w14:paraId="24D9FCA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水质污染</w:t>
            </w:r>
          </w:p>
        </w:tc>
        <w:tc>
          <w:tcPr>
            <w:tcW w:w="2778" w:type="dxa"/>
            <w:noWrap w:val="0"/>
            <w:vAlign w:val="center"/>
          </w:tcPr>
          <w:p w14:paraId="1724C6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给水管未采用有卫生许可的产品，水管连接辅料可能导致水质二次污染。</w:t>
            </w:r>
          </w:p>
        </w:tc>
        <w:tc>
          <w:tcPr>
            <w:tcW w:w="849" w:type="dxa"/>
            <w:noWrap w:val="0"/>
            <w:vAlign w:val="center"/>
          </w:tcPr>
          <w:p w14:paraId="24F69A55">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6C5F62F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5FE8DAD7">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4313D3FA">
            <w:pPr>
              <w:widowControl w:val="0"/>
              <w:kinsoku/>
              <w:adjustRightInd/>
              <w:snapToGrid/>
              <w:jc w:val="center"/>
              <w:textAlignment w:val="auto"/>
              <w:rPr>
                <w:rFonts w:ascii="仿宋" w:hAnsi="仿宋" w:eastAsia="仿宋" w:cs="仿宋"/>
                <w:color w:val="auto"/>
                <w:sz w:val="24"/>
                <w:szCs w:val="24"/>
              </w:rPr>
            </w:pPr>
          </w:p>
        </w:tc>
      </w:tr>
      <w:tr w14:paraId="5582E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882" w:type="dxa"/>
            <w:vMerge w:val="continue"/>
            <w:noWrap w:val="0"/>
            <w:vAlign w:val="center"/>
          </w:tcPr>
          <w:p w14:paraId="32E24A64">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401FB5B">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1851FBDB">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62F52E7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生活水箱无消毒措施</w:t>
            </w:r>
          </w:p>
        </w:tc>
        <w:tc>
          <w:tcPr>
            <w:tcW w:w="849" w:type="dxa"/>
            <w:noWrap w:val="0"/>
            <w:vAlign w:val="center"/>
          </w:tcPr>
          <w:p w14:paraId="30673DEE">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302AAF67">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37622589">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4B2DC0A1">
            <w:pPr>
              <w:widowControl w:val="0"/>
              <w:kinsoku/>
              <w:adjustRightInd/>
              <w:snapToGrid/>
              <w:jc w:val="center"/>
              <w:textAlignment w:val="auto"/>
              <w:rPr>
                <w:rFonts w:ascii="仿宋" w:hAnsi="仿宋" w:eastAsia="仿宋" w:cs="仿宋"/>
                <w:color w:val="auto"/>
                <w:sz w:val="24"/>
                <w:szCs w:val="24"/>
              </w:rPr>
            </w:pPr>
          </w:p>
        </w:tc>
      </w:tr>
      <w:tr w14:paraId="0DBAB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1EDDF34F">
            <w:pPr>
              <w:pStyle w:val="11"/>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4DA0F2EC">
            <w:pPr>
              <w:pStyle w:val="11"/>
              <w:widowControl w:val="0"/>
              <w:kinsoku/>
              <w:adjustRightInd/>
              <w:snapToGrid/>
              <w:jc w:val="center"/>
              <w:textAlignment w:val="auto"/>
              <w:rPr>
                <w:rFonts w:ascii="仿宋" w:hAnsi="仿宋" w:eastAsia="仿宋" w:cs="仿宋"/>
                <w:color w:val="auto"/>
                <w:sz w:val="24"/>
                <w:szCs w:val="24"/>
              </w:rPr>
            </w:pPr>
          </w:p>
        </w:tc>
        <w:tc>
          <w:tcPr>
            <w:tcW w:w="2605" w:type="dxa"/>
            <w:gridSpan w:val="2"/>
            <w:noWrap w:val="0"/>
            <w:vAlign w:val="center"/>
          </w:tcPr>
          <w:p w14:paraId="7B58653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额定压力低于设计压力等级或者管网最高压力</w:t>
            </w:r>
          </w:p>
        </w:tc>
        <w:tc>
          <w:tcPr>
            <w:tcW w:w="2778" w:type="dxa"/>
            <w:noWrap w:val="0"/>
            <w:vAlign w:val="center"/>
          </w:tcPr>
          <w:p w14:paraId="1A57B3C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消防、生活给水、排水管道、</w:t>
            </w:r>
          </w:p>
          <w:p w14:paraId="7D31D37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阀门及附件规格、型号不符合设计要求</w:t>
            </w:r>
          </w:p>
        </w:tc>
        <w:tc>
          <w:tcPr>
            <w:tcW w:w="849" w:type="dxa"/>
            <w:noWrap w:val="0"/>
            <w:vAlign w:val="center"/>
          </w:tcPr>
          <w:p w14:paraId="37EF552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6568FC8">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4BCC01B5">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1FBBFA51">
            <w:pPr>
              <w:pStyle w:val="11"/>
              <w:widowControl w:val="0"/>
              <w:kinsoku/>
              <w:adjustRightInd/>
              <w:snapToGrid/>
              <w:jc w:val="center"/>
              <w:textAlignment w:val="auto"/>
              <w:rPr>
                <w:rFonts w:ascii="仿宋" w:hAnsi="仿宋" w:eastAsia="仿宋" w:cs="仿宋"/>
                <w:color w:val="auto"/>
                <w:sz w:val="24"/>
                <w:szCs w:val="24"/>
              </w:rPr>
            </w:pPr>
          </w:p>
        </w:tc>
      </w:tr>
      <w:tr w14:paraId="2F45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25FD7D2F">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6C6025C3">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noWrap w:val="0"/>
            <w:vAlign w:val="center"/>
          </w:tcPr>
          <w:p w14:paraId="1A9222A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室外给水、消防管道未保温</w:t>
            </w:r>
          </w:p>
        </w:tc>
        <w:tc>
          <w:tcPr>
            <w:tcW w:w="2778" w:type="dxa"/>
            <w:noWrap w:val="0"/>
            <w:vAlign w:val="center"/>
          </w:tcPr>
          <w:p w14:paraId="7806DAF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设计、施工交底不足</w:t>
            </w:r>
          </w:p>
        </w:tc>
        <w:tc>
          <w:tcPr>
            <w:tcW w:w="849" w:type="dxa"/>
            <w:noWrap w:val="0"/>
            <w:vAlign w:val="center"/>
          </w:tcPr>
          <w:p w14:paraId="6A4504E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18C5003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2FE75D2">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6FEF2DCB">
            <w:pPr>
              <w:widowControl w:val="0"/>
              <w:kinsoku/>
              <w:adjustRightInd/>
              <w:snapToGrid/>
              <w:jc w:val="center"/>
              <w:textAlignment w:val="auto"/>
              <w:rPr>
                <w:rFonts w:ascii="仿宋" w:hAnsi="仿宋" w:eastAsia="仿宋" w:cs="仿宋"/>
                <w:color w:val="auto"/>
                <w:sz w:val="24"/>
                <w:szCs w:val="24"/>
              </w:rPr>
            </w:pPr>
          </w:p>
        </w:tc>
      </w:tr>
      <w:tr w14:paraId="2DF9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8" w:hRule="atLeast"/>
        </w:trPr>
        <w:tc>
          <w:tcPr>
            <w:tcW w:w="1882" w:type="dxa"/>
            <w:vMerge w:val="continue"/>
            <w:noWrap w:val="0"/>
            <w:vAlign w:val="center"/>
          </w:tcPr>
          <w:p w14:paraId="134D3AFA">
            <w:pPr>
              <w:widowControl w:val="0"/>
              <w:kinsoku/>
              <w:adjustRightInd/>
              <w:snapToGrid/>
              <w:jc w:val="center"/>
              <w:textAlignment w:val="auto"/>
              <w:rPr>
                <w:rFonts w:ascii="仿宋" w:hAnsi="仿宋" w:eastAsia="仿宋" w:cs="仿宋"/>
                <w:color w:val="auto"/>
                <w:sz w:val="24"/>
                <w:szCs w:val="24"/>
              </w:rPr>
            </w:pPr>
          </w:p>
        </w:tc>
        <w:tc>
          <w:tcPr>
            <w:tcW w:w="1077" w:type="dxa"/>
            <w:vMerge w:val="restart"/>
            <w:noWrap w:val="0"/>
            <w:vAlign w:val="center"/>
          </w:tcPr>
          <w:p w14:paraId="24BDEA56">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暖通工程</w:t>
            </w:r>
          </w:p>
        </w:tc>
        <w:tc>
          <w:tcPr>
            <w:tcW w:w="2605" w:type="dxa"/>
            <w:gridSpan w:val="2"/>
            <w:noWrap w:val="0"/>
            <w:vAlign w:val="center"/>
          </w:tcPr>
          <w:p w14:paraId="145AC9A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吊顶渗漏（冷凝水）</w:t>
            </w:r>
          </w:p>
        </w:tc>
        <w:tc>
          <w:tcPr>
            <w:tcW w:w="2778" w:type="dxa"/>
            <w:noWrap w:val="0"/>
            <w:vAlign w:val="center"/>
          </w:tcPr>
          <w:p w14:paraId="568AE4F4">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吊顶内空调、热水管未保温或保温不</w:t>
            </w:r>
            <w:r>
              <w:rPr>
                <w:rFonts w:hint="eastAsia" w:ascii="仿宋" w:hAnsi="仿宋" w:eastAsia="仿宋" w:cs="仿宋"/>
                <w:color w:val="auto"/>
                <w:sz w:val="24"/>
                <w:szCs w:val="24"/>
                <w:lang w:eastAsia="zh-CN"/>
              </w:rPr>
              <w:t>到位</w:t>
            </w:r>
            <w:r>
              <w:rPr>
                <w:rFonts w:hint="eastAsia" w:ascii="仿宋" w:hAnsi="仿宋" w:eastAsia="仿宋" w:cs="仿宋"/>
                <w:color w:val="auto"/>
                <w:sz w:val="24"/>
                <w:szCs w:val="24"/>
              </w:rPr>
              <w:t>可能引起吊顶渗水的</w:t>
            </w:r>
          </w:p>
        </w:tc>
        <w:tc>
          <w:tcPr>
            <w:tcW w:w="849" w:type="dxa"/>
            <w:noWrap w:val="0"/>
            <w:vAlign w:val="center"/>
          </w:tcPr>
          <w:p w14:paraId="1104DDE1">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0EF3AE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DA95988">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restart"/>
            <w:noWrap w:val="0"/>
            <w:vAlign w:val="center"/>
          </w:tcPr>
          <w:p w14:paraId="656253E5">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72A5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5801895D">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7CF203FD">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noWrap w:val="0"/>
            <w:vAlign w:val="center"/>
          </w:tcPr>
          <w:p w14:paraId="59268DE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风管变形、脱落</w:t>
            </w:r>
          </w:p>
        </w:tc>
        <w:tc>
          <w:tcPr>
            <w:tcW w:w="2778" w:type="dxa"/>
            <w:noWrap w:val="0"/>
            <w:vAlign w:val="center"/>
          </w:tcPr>
          <w:p w14:paraId="07A493A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风管壁厚不满足设计或规范</w:t>
            </w:r>
          </w:p>
          <w:p w14:paraId="42C6072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要求或采用非标产品</w:t>
            </w:r>
          </w:p>
        </w:tc>
        <w:tc>
          <w:tcPr>
            <w:tcW w:w="849" w:type="dxa"/>
            <w:noWrap w:val="0"/>
            <w:vAlign w:val="center"/>
          </w:tcPr>
          <w:p w14:paraId="31F787FE">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7658B8D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46EC4CAB">
            <w:pPr>
              <w:pStyle w:val="11"/>
              <w:widowControl w:val="0"/>
              <w:kinsoku/>
              <w:adjustRightInd/>
              <w:snapToGrid/>
              <w:jc w:val="center"/>
              <w:textAlignment w:val="auto"/>
              <w:rPr>
                <w:rFonts w:ascii="仿宋" w:hAnsi="仿宋" w:eastAsia="仿宋" w:cs="仿宋"/>
                <w:color w:val="auto"/>
                <w:sz w:val="24"/>
                <w:szCs w:val="24"/>
              </w:rPr>
            </w:pPr>
          </w:p>
        </w:tc>
        <w:tc>
          <w:tcPr>
            <w:tcW w:w="3681" w:type="dxa"/>
            <w:vMerge w:val="continue"/>
            <w:noWrap w:val="0"/>
            <w:vAlign w:val="center"/>
          </w:tcPr>
          <w:p w14:paraId="21D790E1">
            <w:pPr>
              <w:widowControl w:val="0"/>
              <w:kinsoku/>
              <w:adjustRightInd/>
              <w:snapToGrid/>
              <w:jc w:val="center"/>
              <w:textAlignment w:val="auto"/>
              <w:rPr>
                <w:rFonts w:ascii="仿宋" w:hAnsi="仿宋" w:eastAsia="仿宋" w:cs="仿宋"/>
                <w:color w:val="auto"/>
                <w:sz w:val="24"/>
                <w:szCs w:val="24"/>
              </w:rPr>
            </w:pPr>
          </w:p>
        </w:tc>
      </w:tr>
      <w:tr w14:paraId="5044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atLeast"/>
        </w:trPr>
        <w:tc>
          <w:tcPr>
            <w:tcW w:w="1882" w:type="dxa"/>
            <w:vMerge w:val="continue"/>
            <w:noWrap w:val="0"/>
            <w:vAlign w:val="center"/>
          </w:tcPr>
          <w:p w14:paraId="0C61F513">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154CEF08">
            <w:pPr>
              <w:widowControl w:val="0"/>
              <w:kinsoku/>
              <w:adjustRightInd/>
              <w:snapToGrid/>
              <w:jc w:val="center"/>
              <w:textAlignment w:val="auto"/>
              <w:rPr>
                <w:rFonts w:ascii="仿宋" w:hAnsi="仿宋" w:eastAsia="仿宋" w:cs="仿宋"/>
                <w:color w:val="auto"/>
                <w:sz w:val="24"/>
                <w:szCs w:val="24"/>
              </w:rPr>
            </w:pPr>
          </w:p>
        </w:tc>
        <w:tc>
          <w:tcPr>
            <w:tcW w:w="2605" w:type="dxa"/>
            <w:gridSpan w:val="2"/>
            <w:noWrap w:val="0"/>
            <w:vAlign w:val="center"/>
          </w:tcPr>
          <w:p w14:paraId="74DC65E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地下空间地面、墙面、项棚长期潮湿</w:t>
            </w:r>
          </w:p>
        </w:tc>
        <w:tc>
          <w:tcPr>
            <w:tcW w:w="2778" w:type="dxa"/>
            <w:noWrap w:val="0"/>
            <w:vAlign w:val="center"/>
          </w:tcPr>
          <w:p w14:paraId="509007E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通风系统无法正常工作</w:t>
            </w:r>
          </w:p>
        </w:tc>
        <w:tc>
          <w:tcPr>
            <w:tcW w:w="849" w:type="dxa"/>
            <w:noWrap w:val="0"/>
            <w:vAlign w:val="center"/>
          </w:tcPr>
          <w:p w14:paraId="254E379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2DECFB6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724447C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3681" w:type="dxa"/>
            <w:vMerge w:val="continue"/>
            <w:noWrap w:val="0"/>
            <w:vAlign w:val="center"/>
          </w:tcPr>
          <w:p w14:paraId="1A360437">
            <w:pPr>
              <w:widowControl w:val="0"/>
              <w:kinsoku/>
              <w:adjustRightInd/>
              <w:snapToGrid/>
              <w:jc w:val="center"/>
              <w:textAlignment w:val="auto"/>
              <w:rPr>
                <w:rFonts w:ascii="仿宋" w:hAnsi="仿宋" w:eastAsia="仿宋" w:cs="仿宋"/>
                <w:color w:val="auto"/>
                <w:sz w:val="24"/>
                <w:szCs w:val="24"/>
              </w:rPr>
            </w:pPr>
          </w:p>
        </w:tc>
      </w:tr>
      <w:tr w14:paraId="2410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1882" w:type="dxa"/>
            <w:vMerge w:val="continue"/>
            <w:noWrap w:val="0"/>
            <w:vAlign w:val="center"/>
          </w:tcPr>
          <w:p w14:paraId="37C0F641">
            <w:pPr>
              <w:widowControl w:val="0"/>
              <w:kinsoku/>
              <w:adjustRightInd/>
              <w:snapToGrid/>
              <w:jc w:val="center"/>
              <w:textAlignment w:val="auto"/>
              <w:rPr>
                <w:rFonts w:ascii="仿宋" w:hAnsi="仿宋" w:eastAsia="仿宋" w:cs="仿宋"/>
                <w:color w:val="auto"/>
                <w:sz w:val="24"/>
                <w:szCs w:val="24"/>
              </w:rPr>
            </w:pPr>
          </w:p>
        </w:tc>
        <w:tc>
          <w:tcPr>
            <w:tcW w:w="1077" w:type="dxa"/>
            <w:vMerge w:val="restart"/>
            <w:noWrap w:val="0"/>
            <w:vAlign w:val="center"/>
          </w:tcPr>
          <w:p w14:paraId="0911F252">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w:t>
            </w:r>
          </w:p>
        </w:tc>
        <w:tc>
          <w:tcPr>
            <w:tcW w:w="2605" w:type="dxa"/>
            <w:gridSpan w:val="2"/>
            <w:vMerge w:val="restart"/>
            <w:noWrap w:val="0"/>
            <w:vAlign w:val="center"/>
          </w:tcPr>
          <w:p w14:paraId="1EC619C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管线损坏</w:t>
            </w:r>
          </w:p>
        </w:tc>
        <w:tc>
          <w:tcPr>
            <w:tcW w:w="2778" w:type="dxa"/>
            <w:noWrap w:val="0"/>
            <w:vAlign w:val="center"/>
          </w:tcPr>
          <w:p w14:paraId="56C1901B">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施工保护不足</w:t>
            </w:r>
          </w:p>
        </w:tc>
        <w:tc>
          <w:tcPr>
            <w:tcW w:w="849" w:type="dxa"/>
            <w:noWrap w:val="0"/>
            <w:vAlign w:val="center"/>
          </w:tcPr>
          <w:p w14:paraId="736D8262">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42082FC1">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091D93FB">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3D8D4423">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单体工程归并同类项，按一个严重风险处理（判定为系统性风险的作为严重风险处理）</w:t>
            </w:r>
          </w:p>
        </w:tc>
      </w:tr>
      <w:tr w14:paraId="03D2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882" w:type="dxa"/>
            <w:vMerge w:val="continue"/>
            <w:noWrap w:val="0"/>
            <w:vAlign w:val="center"/>
          </w:tcPr>
          <w:p w14:paraId="57F4BAB4">
            <w:pPr>
              <w:widowControl w:val="0"/>
              <w:kinsoku/>
              <w:adjustRightInd/>
              <w:snapToGrid/>
              <w:jc w:val="center"/>
              <w:textAlignment w:val="auto"/>
              <w:rPr>
                <w:rFonts w:ascii="仿宋" w:hAnsi="仿宋" w:eastAsia="仿宋" w:cs="仿宋"/>
                <w:color w:val="auto"/>
                <w:sz w:val="24"/>
                <w:szCs w:val="24"/>
                <w:lang w:eastAsia="zh-CN"/>
              </w:rPr>
            </w:pPr>
          </w:p>
        </w:tc>
        <w:tc>
          <w:tcPr>
            <w:tcW w:w="1077" w:type="dxa"/>
            <w:vMerge w:val="continue"/>
            <w:noWrap w:val="0"/>
            <w:vAlign w:val="center"/>
          </w:tcPr>
          <w:p w14:paraId="4B0955B7">
            <w:pPr>
              <w:widowControl w:val="0"/>
              <w:kinsoku/>
              <w:adjustRightInd/>
              <w:snapToGrid/>
              <w:jc w:val="center"/>
              <w:textAlignment w:val="auto"/>
              <w:rPr>
                <w:rFonts w:ascii="仿宋" w:hAnsi="仿宋" w:eastAsia="仿宋" w:cs="仿宋"/>
                <w:color w:val="auto"/>
                <w:sz w:val="24"/>
                <w:szCs w:val="24"/>
                <w:lang w:eastAsia="zh-CN"/>
              </w:rPr>
            </w:pPr>
          </w:p>
        </w:tc>
        <w:tc>
          <w:tcPr>
            <w:tcW w:w="2605" w:type="dxa"/>
            <w:gridSpan w:val="2"/>
            <w:vMerge w:val="continue"/>
            <w:noWrap w:val="0"/>
            <w:vAlign w:val="center"/>
          </w:tcPr>
          <w:p w14:paraId="24448991">
            <w:pPr>
              <w:widowControl w:val="0"/>
              <w:kinsoku/>
              <w:adjustRightInd/>
              <w:snapToGrid/>
              <w:jc w:val="center"/>
              <w:textAlignment w:val="auto"/>
              <w:rPr>
                <w:rFonts w:ascii="仿宋" w:hAnsi="仿宋" w:eastAsia="仿宋" w:cs="仿宋"/>
                <w:color w:val="auto"/>
                <w:sz w:val="24"/>
                <w:szCs w:val="24"/>
                <w:lang w:eastAsia="zh-CN"/>
              </w:rPr>
            </w:pPr>
          </w:p>
        </w:tc>
        <w:tc>
          <w:tcPr>
            <w:tcW w:w="2778" w:type="dxa"/>
            <w:noWrap w:val="0"/>
            <w:vAlign w:val="center"/>
          </w:tcPr>
          <w:p w14:paraId="09C83EF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设计不规范（应使用压力管的未设计）</w:t>
            </w:r>
          </w:p>
        </w:tc>
        <w:tc>
          <w:tcPr>
            <w:tcW w:w="849" w:type="dxa"/>
            <w:noWrap w:val="0"/>
            <w:vAlign w:val="center"/>
          </w:tcPr>
          <w:p w14:paraId="635163FC">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850" w:type="dxa"/>
            <w:noWrap w:val="0"/>
            <w:vAlign w:val="center"/>
          </w:tcPr>
          <w:p w14:paraId="69DB4E81">
            <w:pPr>
              <w:pStyle w:val="11"/>
              <w:widowControl w:val="0"/>
              <w:kinsoku/>
              <w:adjustRightInd/>
              <w:snapToGrid/>
              <w:jc w:val="center"/>
              <w:textAlignment w:val="auto"/>
              <w:rPr>
                <w:rFonts w:ascii="仿宋" w:hAnsi="仿宋" w:eastAsia="仿宋" w:cs="仿宋"/>
                <w:color w:val="auto"/>
                <w:sz w:val="24"/>
                <w:szCs w:val="24"/>
              </w:rPr>
            </w:pPr>
          </w:p>
        </w:tc>
        <w:tc>
          <w:tcPr>
            <w:tcW w:w="708" w:type="dxa"/>
            <w:noWrap w:val="0"/>
            <w:vAlign w:val="center"/>
          </w:tcPr>
          <w:p w14:paraId="34D8D308">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088ADFAF">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45E4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882" w:type="dxa"/>
            <w:vMerge w:val="continue"/>
            <w:noWrap w:val="0"/>
            <w:vAlign w:val="center"/>
          </w:tcPr>
          <w:p w14:paraId="2F10200C">
            <w:pPr>
              <w:widowControl w:val="0"/>
              <w:kinsoku/>
              <w:adjustRightInd/>
              <w:snapToGrid/>
              <w:jc w:val="center"/>
              <w:textAlignment w:val="auto"/>
              <w:rPr>
                <w:rFonts w:ascii="仿宋" w:hAnsi="仿宋" w:eastAsia="仿宋" w:cs="仿宋"/>
                <w:color w:val="auto"/>
                <w:sz w:val="24"/>
                <w:szCs w:val="24"/>
              </w:rPr>
            </w:pPr>
          </w:p>
        </w:tc>
        <w:tc>
          <w:tcPr>
            <w:tcW w:w="1077" w:type="dxa"/>
            <w:vMerge w:val="continue"/>
            <w:noWrap w:val="0"/>
            <w:vAlign w:val="center"/>
          </w:tcPr>
          <w:p w14:paraId="0B571479">
            <w:pPr>
              <w:widowControl w:val="0"/>
              <w:kinsoku/>
              <w:adjustRightInd/>
              <w:snapToGrid/>
              <w:jc w:val="center"/>
              <w:textAlignment w:val="auto"/>
              <w:rPr>
                <w:rFonts w:ascii="仿宋" w:hAnsi="仿宋" w:eastAsia="仿宋" w:cs="仿宋"/>
                <w:color w:val="auto"/>
                <w:sz w:val="24"/>
                <w:szCs w:val="24"/>
              </w:rPr>
            </w:pPr>
          </w:p>
        </w:tc>
        <w:tc>
          <w:tcPr>
            <w:tcW w:w="2605" w:type="dxa"/>
            <w:gridSpan w:val="2"/>
            <w:vMerge w:val="continue"/>
            <w:noWrap w:val="0"/>
            <w:vAlign w:val="center"/>
          </w:tcPr>
          <w:p w14:paraId="62C4F3A9">
            <w:pPr>
              <w:widowControl w:val="0"/>
              <w:kinsoku/>
              <w:adjustRightInd/>
              <w:snapToGrid/>
              <w:jc w:val="center"/>
              <w:textAlignment w:val="auto"/>
              <w:rPr>
                <w:rFonts w:ascii="仿宋" w:hAnsi="仿宋" w:eastAsia="仿宋" w:cs="仿宋"/>
                <w:color w:val="auto"/>
                <w:sz w:val="24"/>
                <w:szCs w:val="24"/>
              </w:rPr>
            </w:pPr>
          </w:p>
        </w:tc>
        <w:tc>
          <w:tcPr>
            <w:tcW w:w="2778" w:type="dxa"/>
            <w:noWrap w:val="0"/>
            <w:vAlign w:val="center"/>
          </w:tcPr>
          <w:p w14:paraId="0AD0EE8D">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管线材料不合格</w:t>
            </w:r>
          </w:p>
        </w:tc>
        <w:tc>
          <w:tcPr>
            <w:tcW w:w="849" w:type="dxa"/>
            <w:noWrap w:val="0"/>
            <w:vAlign w:val="center"/>
          </w:tcPr>
          <w:p w14:paraId="18E1DB73">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501E525E">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2B47DAB5">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78A398EA">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如有，即认定</w:t>
            </w:r>
          </w:p>
        </w:tc>
      </w:tr>
      <w:tr w14:paraId="7912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882" w:type="dxa"/>
            <w:vMerge w:val="continue"/>
            <w:noWrap w:val="0"/>
            <w:vAlign w:val="center"/>
          </w:tcPr>
          <w:p w14:paraId="5C65BCF8">
            <w:pPr>
              <w:widowControl w:val="0"/>
              <w:kinsoku/>
              <w:adjustRightInd/>
              <w:snapToGrid/>
              <w:jc w:val="center"/>
              <w:textAlignment w:val="auto"/>
              <w:rPr>
                <w:rFonts w:ascii="仿宋" w:hAnsi="仿宋" w:eastAsia="仿宋" w:cs="仿宋"/>
                <w:color w:val="auto"/>
                <w:sz w:val="24"/>
                <w:szCs w:val="24"/>
              </w:rPr>
            </w:pPr>
          </w:p>
        </w:tc>
        <w:tc>
          <w:tcPr>
            <w:tcW w:w="1077" w:type="dxa"/>
            <w:noWrap w:val="0"/>
            <w:vAlign w:val="center"/>
          </w:tcPr>
          <w:p w14:paraId="2B430B7C">
            <w:pPr>
              <w:widowControl w:val="0"/>
              <w:kinsoku/>
              <w:adjustRightInd/>
              <w:snapToGrid/>
              <w:jc w:val="center"/>
              <w:textAlignment w:val="auto"/>
              <w:rPr>
                <w:rFonts w:ascii="仿宋" w:hAnsi="仿宋" w:eastAsia="仿宋" w:cs="仿宋"/>
                <w:color w:val="auto"/>
                <w:sz w:val="24"/>
                <w:szCs w:val="24"/>
              </w:rPr>
            </w:pPr>
          </w:p>
        </w:tc>
        <w:tc>
          <w:tcPr>
            <w:tcW w:w="2605" w:type="dxa"/>
            <w:gridSpan w:val="2"/>
            <w:noWrap w:val="0"/>
            <w:vAlign w:val="center"/>
          </w:tcPr>
          <w:p w14:paraId="35241F6F">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水电风管穿墙未封堵</w:t>
            </w:r>
          </w:p>
        </w:tc>
        <w:tc>
          <w:tcPr>
            <w:tcW w:w="2778" w:type="dxa"/>
            <w:noWrap w:val="0"/>
            <w:vAlign w:val="center"/>
          </w:tcPr>
          <w:p w14:paraId="69808B4A">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施工交底不足</w:t>
            </w:r>
          </w:p>
        </w:tc>
        <w:tc>
          <w:tcPr>
            <w:tcW w:w="849" w:type="dxa"/>
            <w:noWrap w:val="0"/>
            <w:vAlign w:val="center"/>
          </w:tcPr>
          <w:p w14:paraId="77E3388E">
            <w:pPr>
              <w:pStyle w:val="11"/>
              <w:widowControl w:val="0"/>
              <w:kinsoku/>
              <w:adjustRightInd/>
              <w:snapToGrid/>
              <w:jc w:val="center"/>
              <w:textAlignment w:val="auto"/>
              <w:rPr>
                <w:rFonts w:ascii="仿宋" w:hAnsi="仿宋" w:eastAsia="仿宋" w:cs="仿宋"/>
                <w:color w:val="auto"/>
                <w:sz w:val="24"/>
                <w:szCs w:val="24"/>
              </w:rPr>
            </w:pPr>
          </w:p>
        </w:tc>
        <w:tc>
          <w:tcPr>
            <w:tcW w:w="850" w:type="dxa"/>
            <w:noWrap w:val="0"/>
            <w:vAlign w:val="center"/>
          </w:tcPr>
          <w:p w14:paraId="21125249">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708" w:type="dxa"/>
            <w:noWrap w:val="0"/>
            <w:vAlign w:val="center"/>
          </w:tcPr>
          <w:p w14:paraId="17570684">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1DE8919E">
            <w:pPr>
              <w:widowControl w:val="0"/>
              <w:kinsoku/>
              <w:adjustRightInd/>
              <w:snapToGrid/>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val="zh-CN" w:eastAsia="zh-CN" w:bidi="zh-CN"/>
              </w:rPr>
              <w:t>单体工程归并同类项，按一个严重风险处理（判定为系统性风险的作为严重风险处理）</w:t>
            </w:r>
          </w:p>
        </w:tc>
      </w:tr>
      <w:tr w14:paraId="2F50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882" w:type="dxa"/>
            <w:noWrap w:val="0"/>
            <w:vAlign w:val="center"/>
          </w:tcPr>
          <w:p w14:paraId="07355598">
            <w:pPr>
              <w:widowControl w:val="0"/>
              <w:kinsoku/>
              <w:adjustRightInd/>
              <w:snapToGrid/>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tc>
        <w:tc>
          <w:tcPr>
            <w:tcW w:w="1077" w:type="dxa"/>
            <w:noWrap w:val="0"/>
            <w:vAlign w:val="center"/>
          </w:tcPr>
          <w:p w14:paraId="58109527">
            <w:pPr>
              <w:widowControl w:val="0"/>
              <w:kinsoku/>
              <w:adjustRightInd/>
              <w:snapToGrid/>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w:t>
            </w:r>
          </w:p>
        </w:tc>
        <w:tc>
          <w:tcPr>
            <w:tcW w:w="2605" w:type="dxa"/>
            <w:gridSpan w:val="2"/>
            <w:noWrap w:val="0"/>
            <w:vAlign w:val="center"/>
          </w:tcPr>
          <w:p w14:paraId="206A9C6D">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材料使用不当</w:t>
            </w:r>
          </w:p>
        </w:tc>
        <w:tc>
          <w:tcPr>
            <w:tcW w:w="2778" w:type="dxa"/>
            <w:noWrap w:val="0"/>
            <w:vAlign w:val="center"/>
          </w:tcPr>
          <w:p w14:paraId="36678785">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使用市城乡建设</w:t>
            </w:r>
            <w:r>
              <w:rPr>
                <w:rFonts w:hint="eastAsia" w:ascii="仿宋" w:hAnsi="仿宋" w:eastAsia="仿宋" w:cs="仿宋"/>
                <w:color w:val="auto"/>
                <w:sz w:val="24"/>
                <w:szCs w:val="24"/>
                <w:lang w:eastAsia="zh-CN" w:bidi="zh-CN"/>
              </w:rPr>
              <w:t>委员会</w:t>
            </w:r>
            <w:r>
              <w:rPr>
                <w:rFonts w:hint="eastAsia" w:ascii="仿宋" w:hAnsi="仿宋" w:eastAsia="仿宋" w:cs="仿宋"/>
                <w:color w:val="auto"/>
                <w:sz w:val="24"/>
                <w:szCs w:val="24"/>
                <w:lang w:val="zh-CN" w:eastAsia="zh-CN" w:bidi="zh-CN"/>
              </w:rPr>
              <w:t>颁布的禁用材料</w:t>
            </w:r>
          </w:p>
        </w:tc>
        <w:tc>
          <w:tcPr>
            <w:tcW w:w="849" w:type="dxa"/>
            <w:noWrap w:val="0"/>
            <w:vAlign w:val="center"/>
          </w:tcPr>
          <w:p w14:paraId="6FCEDA5C">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w:t>
            </w:r>
          </w:p>
        </w:tc>
        <w:tc>
          <w:tcPr>
            <w:tcW w:w="850" w:type="dxa"/>
            <w:noWrap w:val="0"/>
            <w:vAlign w:val="center"/>
          </w:tcPr>
          <w:p w14:paraId="5C350B43">
            <w:pPr>
              <w:widowControl w:val="0"/>
              <w:kinsoku/>
              <w:adjustRightInd/>
              <w:snapToGrid/>
              <w:jc w:val="center"/>
              <w:textAlignment w:val="auto"/>
              <w:rPr>
                <w:rFonts w:ascii="仿宋" w:hAnsi="仿宋" w:eastAsia="仿宋" w:cs="仿宋"/>
                <w:color w:val="auto"/>
                <w:sz w:val="24"/>
                <w:szCs w:val="24"/>
                <w:lang w:val="zh-CN" w:eastAsia="zh-CN" w:bidi="zh-CN"/>
              </w:rPr>
            </w:pPr>
            <w:r>
              <w:rPr>
                <w:rFonts w:hint="eastAsia" w:ascii="仿宋" w:hAnsi="仿宋" w:eastAsia="仿宋" w:cs="仿宋"/>
                <w:color w:val="auto"/>
                <w:sz w:val="24"/>
                <w:szCs w:val="24"/>
                <w:lang w:val="zh-CN" w:eastAsia="zh-CN" w:bidi="zh-CN"/>
              </w:rPr>
              <w:t>√</w:t>
            </w:r>
          </w:p>
        </w:tc>
        <w:tc>
          <w:tcPr>
            <w:tcW w:w="708" w:type="dxa"/>
            <w:noWrap w:val="0"/>
            <w:vAlign w:val="center"/>
          </w:tcPr>
          <w:p w14:paraId="51D12DA1">
            <w:pPr>
              <w:pStyle w:val="11"/>
              <w:widowControl w:val="0"/>
              <w:kinsoku/>
              <w:adjustRightInd/>
              <w:snapToGrid/>
              <w:jc w:val="center"/>
              <w:textAlignment w:val="auto"/>
              <w:rPr>
                <w:rFonts w:ascii="仿宋" w:hAnsi="仿宋" w:eastAsia="仿宋" w:cs="仿宋"/>
                <w:color w:val="auto"/>
                <w:sz w:val="24"/>
                <w:szCs w:val="24"/>
              </w:rPr>
            </w:pPr>
          </w:p>
        </w:tc>
        <w:tc>
          <w:tcPr>
            <w:tcW w:w="3681" w:type="dxa"/>
            <w:noWrap w:val="0"/>
            <w:vAlign w:val="center"/>
          </w:tcPr>
          <w:p w14:paraId="3A283019">
            <w:pPr>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val="zh-CN" w:eastAsia="zh-CN" w:bidi="zh-CN"/>
              </w:rPr>
              <w:t>如有，即认定</w:t>
            </w:r>
          </w:p>
        </w:tc>
      </w:tr>
    </w:tbl>
    <w:p w14:paraId="033EB626">
      <w:pPr>
        <w:pStyle w:val="5"/>
        <w:widowControl w:val="0"/>
        <w:kinsoku/>
        <w:adjustRightInd/>
        <w:snapToGrid/>
        <w:spacing w:line="360" w:lineRule="auto"/>
        <w:ind w:firstLine="480"/>
        <w:textAlignment w:val="auto"/>
        <w:rPr>
          <w:color w:val="auto"/>
          <w:sz w:val="24"/>
          <w:szCs w:val="24"/>
          <w:lang w:eastAsia="zh-CN"/>
        </w:rPr>
      </w:pPr>
      <w:r>
        <w:rPr>
          <w:rFonts w:hint="eastAsia"/>
          <w:color w:val="auto"/>
          <w:sz w:val="24"/>
          <w:szCs w:val="24"/>
          <w:lang w:eastAsia="zh-CN"/>
        </w:rPr>
        <w:t>注：本表所列举严重技术风险类型仅做参考。</w:t>
      </w:r>
    </w:p>
    <w:p w14:paraId="75C55FE4">
      <w:pPr>
        <w:pStyle w:val="5"/>
        <w:kinsoku/>
        <w:adjustRightInd/>
        <w:snapToGrid/>
        <w:spacing w:line="360" w:lineRule="auto"/>
        <w:ind w:firstLine="480"/>
        <w:textAlignment w:val="auto"/>
        <w:rPr>
          <w:color w:val="auto"/>
          <w:sz w:val="24"/>
          <w:szCs w:val="24"/>
          <w:lang w:eastAsia="zh-CN"/>
        </w:rPr>
      </w:pPr>
    </w:p>
    <w:p w14:paraId="5137D4EF">
      <w:pPr>
        <w:kinsoku/>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5BC93890">
      <w:pPr>
        <w:pStyle w:val="3"/>
        <w:rPr>
          <w:lang w:eastAsia="zh-CN"/>
        </w:rPr>
      </w:pPr>
      <w:r>
        <w:rPr>
          <w:rFonts w:hint="eastAsia"/>
          <w:lang w:eastAsia="zh-CN"/>
        </w:rPr>
        <w:t>附录</w:t>
      </w:r>
      <w:r>
        <w:rPr>
          <w:rFonts w:hint="eastAsia"/>
          <w:lang w:val="en-US" w:eastAsia="zh-CN"/>
        </w:rPr>
        <w:t>C</w:t>
      </w:r>
      <w:r>
        <w:rPr>
          <w:rFonts w:hint="eastAsia"/>
          <w:lang w:eastAsia="zh-CN"/>
        </w:rPr>
        <w:t>常见渗漏严重技术风险认定参考示例</w:t>
      </w:r>
    </w:p>
    <w:p w14:paraId="1F177422">
      <w:pPr>
        <w:kinsoku/>
        <w:adjustRightInd/>
        <w:snapToGrid/>
        <w:spacing w:line="360" w:lineRule="auto"/>
        <w:ind w:firstLine="480" w:firstLineChars="200"/>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常见渗漏严重技术风险认定参考示例</w:t>
      </w:r>
    </w:p>
    <w:tbl>
      <w:tblPr>
        <w:tblStyle w:val="8"/>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75"/>
        <w:gridCol w:w="92"/>
        <w:gridCol w:w="5850"/>
        <w:gridCol w:w="89"/>
        <w:gridCol w:w="98"/>
        <w:gridCol w:w="1189"/>
        <w:gridCol w:w="150"/>
        <w:gridCol w:w="90"/>
        <w:gridCol w:w="1172"/>
        <w:gridCol w:w="186"/>
        <w:gridCol w:w="27"/>
        <w:gridCol w:w="27"/>
        <w:gridCol w:w="1175"/>
        <w:gridCol w:w="193"/>
        <w:gridCol w:w="15"/>
        <w:gridCol w:w="15"/>
        <w:gridCol w:w="1383"/>
        <w:gridCol w:w="29"/>
      </w:tblGrid>
      <w:tr w14:paraId="7583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13955" w:type="dxa"/>
            <w:gridSpan w:val="18"/>
            <w:noWrap w:val="0"/>
            <w:vAlign w:val="center"/>
          </w:tcPr>
          <w:p w14:paraId="2EA1CDA9">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编号释义：渗漏风险（SL）+部位+风险源+序号</w:t>
            </w:r>
          </w:p>
          <w:p w14:paraId="4C31D045">
            <w:pPr>
              <w:pStyle w:val="11"/>
              <w:widowControl w:val="0"/>
              <w:tabs>
                <w:tab w:val="left" w:pos="3598"/>
                <w:tab w:val="left" w:pos="486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例SL1101SL—渗漏风险1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地下室1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设计阶段01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序号</w:t>
            </w:r>
          </w:p>
        </w:tc>
      </w:tr>
      <w:tr w14:paraId="61A4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3955" w:type="dxa"/>
            <w:gridSpan w:val="18"/>
            <w:noWrap w:val="0"/>
            <w:vAlign w:val="center"/>
          </w:tcPr>
          <w:p w14:paraId="5089D11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一、地下室</w:t>
            </w:r>
          </w:p>
        </w:tc>
      </w:tr>
      <w:tr w14:paraId="2FB9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vMerge w:val="restart"/>
            <w:noWrap w:val="0"/>
            <w:vAlign w:val="center"/>
          </w:tcPr>
          <w:p w14:paraId="5E5A92F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编号</w:t>
            </w:r>
          </w:p>
        </w:tc>
        <w:tc>
          <w:tcPr>
            <w:tcW w:w="6031" w:type="dxa"/>
            <w:gridSpan w:val="3"/>
            <w:vMerge w:val="restart"/>
            <w:noWrap w:val="0"/>
            <w:vAlign w:val="center"/>
          </w:tcPr>
          <w:p w14:paraId="757B066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337" w:type="dxa"/>
            <w:gridSpan w:val="12"/>
            <w:noWrap w:val="0"/>
            <w:vAlign w:val="center"/>
          </w:tcPr>
          <w:p w14:paraId="6805EE5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12" w:type="dxa"/>
            <w:gridSpan w:val="2"/>
            <w:vMerge w:val="restart"/>
            <w:noWrap w:val="0"/>
            <w:vAlign w:val="center"/>
          </w:tcPr>
          <w:p w14:paraId="590205C3">
            <w:pPr>
              <w:pStyle w:val="11"/>
              <w:widowControl w:val="0"/>
              <w:kinsoku/>
              <w:adjustRightInd/>
              <w:snapToGrid/>
              <w:spacing w:line="360" w:lineRule="auto"/>
              <w:jc w:val="center"/>
              <w:textAlignment w:val="auto"/>
              <w:rPr>
                <w:rFonts w:ascii="仿宋" w:hAnsi="仿宋" w:eastAsia="仿宋" w:cs="仿宋"/>
                <w:color w:val="auto"/>
                <w:sz w:val="24"/>
                <w:szCs w:val="24"/>
              </w:rPr>
            </w:pPr>
          </w:p>
          <w:p w14:paraId="25BC958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5E4A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vMerge w:val="continue"/>
            <w:noWrap w:val="0"/>
            <w:vAlign w:val="center"/>
          </w:tcPr>
          <w:p w14:paraId="122B5A7B">
            <w:pPr>
              <w:widowControl w:val="0"/>
              <w:kinsoku/>
              <w:adjustRightInd/>
              <w:snapToGrid/>
              <w:spacing w:line="360" w:lineRule="auto"/>
              <w:jc w:val="center"/>
              <w:textAlignment w:val="auto"/>
              <w:rPr>
                <w:rFonts w:ascii="仿宋" w:hAnsi="仿宋" w:eastAsia="仿宋" w:cs="仿宋"/>
                <w:color w:val="auto"/>
                <w:sz w:val="24"/>
                <w:szCs w:val="24"/>
              </w:rPr>
            </w:pPr>
          </w:p>
        </w:tc>
        <w:tc>
          <w:tcPr>
            <w:tcW w:w="6031" w:type="dxa"/>
            <w:gridSpan w:val="3"/>
            <w:vMerge w:val="continue"/>
            <w:noWrap w:val="0"/>
            <w:vAlign w:val="center"/>
          </w:tcPr>
          <w:p w14:paraId="30EC0BD9">
            <w:pPr>
              <w:widowControl w:val="0"/>
              <w:kinsoku/>
              <w:adjustRightInd/>
              <w:snapToGrid/>
              <w:spacing w:line="360" w:lineRule="auto"/>
              <w:jc w:val="center"/>
              <w:textAlignment w:val="auto"/>
              <w:rPr>
                <w:rFonts w:ascii="仿宋" w:hAnsi="仿宋" w:eastAsia="仿宋" w:cs="仿宋"/>
                <w:color w:val="auto"/>
                <w:sz w:val="24"/>
                <w:szCs w:val="24"/>
              </w:rPr>
            </w:pPr>
          </w:p>
        </w:tc>
        <w:tc>
          <w:tcPr>
            <w:tcW w:w="1437" w:type="dxa"/>
            <w:gridSpan w:val="3"/>
            <w:noWrap w:val="0"/>
            <w:vAlign w:val="center"/>
          </w:tcPr>
          <w:p w14:paraId="2AD4837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448" w:type="dxa"/>
            <w:gridSpan w:val="3"/>
            <w:noWrap w:val="0"/>
            <w:vAlign w:val="center"/>
          </w:tcPr>
          <w:p w14:paraId="3EE4C5B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452" w:type="dxa"/>
            <w:gridSpan w:val="6"/>
            <w:noWrap w:val="0"/>
            <w:vAlign w:val="center"/>
          </w:tcPr>
          <w:p w14:paraId="7FD8AA2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12" w:type="dxa"/>
            <w:gridSpan w:val="2"/>
            <w:vMerge w:val="continue"/>
            <w:noWrap w:val="0"/>
            <w:vAlign w:val="center"/>
          </w:tcPr>
          <w:p w14:paraId="16B51034">
            <w:pPr>
              <w:widowControl w:val="0"/>
              <w:kinsoku/>
              <w:adjustRightInd/>
              <w:snapToGrid/>
              <w:spacing w:line="360" w:lineRule="auto"/>
              <w:jc w:val="center"/>
              <w:textAlignment w:val="auto"/>
              <w:rPr>
                <w:rFonts w:ascii="仿宋" w:hAnsi="仿宋" w:eastAsia="仿宋" w:cs="仿宋"/>
                <w:color w:val="auto"/>
                <w:sz w:val="24"/>
                <w:szCs w:val="24"/>
              </w:rPr>
            </w:pPr>
          </w:p>
        </w:tc>
      </w:tr>
      <w:tr w14:paraId="1E4B8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4AA4A96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SL1101</w:t>
            </w:r>
          </w:p>
        </w:tc>
        <w:tc>
          <w:tcPr>
            <w:tcW w:w="6031" w:type="dxa"/>
            <w:gridSpan w:val="3"/>
            <w:noWrap w:val="0"/>
            <w:vAlign w:val="center"/>
          </w:tcPr>
          <w:p w14:paraId="0A36EC8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防水等级降低、防水道数不足；刚性防渗等级严重不符</w:t>
            </w:r>
          </w:p>
        </w:tc>
        <w:tc>
          <w:tcPr>
            <w:tcW w:w="1437" w:type="dxa"/>
            <w:gridSpan w:val="3"/>
            <w:noWrap w:val="0"/>
            <w:vAlign w:val="center"/>
          </w:tcPr>
          <w:p w14:paraId="538DB98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64286D2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38BB4D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085462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804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224412A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SL1102</w:t>
            </w:r>
          </w:p>
        </w:tc>
        <w:tc>
          <w:tcPr>
            <w:tcW w:w="6031" w:type="dxa"/>
            <w:gridSpan w:val="3"/>
            <w:noWrap w:val="0"/>
            <w:vAlign w:val="center"/>
          </w:tcPr>
          <w:p w14:paraId="501D872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桩头防水措施未在设计中进行明确</w:t>
            </w:r>
          </w:p>
        </w:tc>
        <w:tc>
          <w:tcPr>
            <w:tcW w:w="1437" w:type="dxa"/>
            <w:gridSpan w:val="3"/>
            <w:noWrap w:val="0"/>
            <w:vAlign w:val="center"/>
          </w:tcPr>
          <w:p w14:paraId="1B91F10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6224D59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55D11FC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FE6C60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355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10D451A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SL1103</w:t>
            </w:r>
          </w:p>
        </w:tc>
        <w:tc>
          <w:tcPr>
            <w:tcW w:w="6031" w:type="dxa"/>
            <w:gridSpan w:val="3"/>
            <w:noWrap w:val="0"/>
            <w:vAlign w:val="center"/>
          </w:tcPr>
          <w:p w14:paraId="6AD615C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防水层选材错误</w:t>
            </w:r>
          </w:p>
        </w:tc>
        <w:tc>
          <w:tcPr>
            <w:tcW w:w="1437" w:type="dxa"/>
            <w:gridSpan w:val="3"/>
            <w:noWrap w:val="0"/>
            <w:vAlign w:val="center"/>
          </w:tcPr>
          <w:p w14:paraId="56D9D57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7420892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3F851E0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C411E3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08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16057CC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SL1104</w:t>
            </w:r>
          </w:p>
        </w:tc>
        <w:tc>
          <w:tcPr>
            <w:tcW w:w="6031" w:type="dxa"/>
            <w:gridSpan w:val="3"/>
            <w:noWrap w:val="0"/>
            <w:vAlign w:val="center"/>
          </w:tcPr>
          <w:p w14:paraId="57E324E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结构转角、应力集中处、异型布置节点未设计明确防水加强措施</w:t>
            </w:r>
          </w:p>
        </w:tc>
        <w:tc>
          <w:tcPr>
            <w:tcW w:w="1437" w:type="dxa"/>
            <w:gridSpan w:val="3"/>
            <w:noWrap w:val="0"/>
            <w:vAlign w:val="center"/>
          </w:tcPr>
          <w:p w14:paraId="4AD5927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5262B0F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E0DB75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01087A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01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4720B0F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SL1105</w:t>
            </w:r>
          </w:p>
        </w:tc>
        <w:tc>
          <w:tcPr>
            <w:tcW w:w="6031" w:type="dxa"/>
            <w:gridSpan w:val="3"/>
            <w:noWrap w:val="0"/>
            <w:vAlign w:val="center"/>
          </w:tcPr>
          <w:p w14:paraId="582C682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地下防水层设计中未设置有效保护层</w:t>
            </w:r>
          </w:p>
        </w:tc>
        <w:tc>
          <w:tcPr>
            <w:tcW w:w="1437" w:type="dxa"/>
            <w:gridSpan w:val="3"/>
            <w:noWrap w:val="0"/>
            <w:vAlign w:val="center"/>
          </w:tcPr>
          <w:p w14:paraId="7EDBA61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70E0968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029564D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D8E437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2C1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76162AE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SL1106</w:t>
            </w:r>
          </w:p>
        </w:tc>
        <w:tc>
          <w:tcPr>
            <w:tcW w:w="6031" w:type="dxa"/>
            <w:gridSpan w:val="3"/>
            <w:noWrap w:val="0"/>
            <w:vAlign w:val="center"/>
          </w:tcPr>
          <w:p w14:paraId="7AAFB8B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后浇带设计留设在集水井内</w:t>
            </w:r>
          </w:p>
        </w:tc>
        <w:tc>
          <w:tcPr>
            <w:tcW w:w="1437" w:type="dxa"/>
            <w:gridSpan w:val="3"/>
            <w:noWrap w:val="0"/>
            <w:vAlign w:val="center"/>
          </w:tcPr>
          <w:p w14:paraId="6DE1219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2DC96E4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064734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1CF62C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9741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378C82F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SL1107</w:t>
            </w:r>
          </w:p>
        </w:tc>
        <w:tc>
          <w:tcPr>
            <w:tcW w:w="6031" w:type="dxa"/>
            <w:gridSpan w:val="3"/>
            <w:noWrap w:val="0"/>
            <w:vAlign w:val="center"/>
          </w:tcPr>
          <w:p w14:paraId="60336BD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地下室外墙计算时，模型选择有误</w:t>
            </w:r>
          </w:p>
        </w:tc>
        <w:tc>
          <w:tcPr>
            <w:tcW w:w="1437" w:type="dxa"/>
            <w:gridSpan w:val="3"/>
            <w:noWrap w:val="0"/>
            <w:vAlign w:val="center"/>
          </w:tcPr>
          <w:p w14:paraId="5C51E25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1FB9A4B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47AC0AA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84932C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8A1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370E3D3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SL1108</w:t>
            </w:r>
          </w:p>
        </w:tc>
        <w:tc>
          <w:tcPr>
            <w:tcW w:w="6031" w:type="dxa"/>
            <w:gridSpan w:val="3"/>
            <w:noWrap w:val="0"/>
            <w:vAlign w:val="center"/>
          </w:tcPr>
          <w:p w14:paraId="0EAC596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预埋套管较大且设置在后浇带位置</w:t>
            </w:r>
          </w:p>
        </w:tc>
        <w:tc>
          <w:tcPr>
            <w:tcW w:w="1437" w:type="dxa"/>
            <w:gridSpan w:val="3"/>
            <w:noWrap w:val="0"/>
            <w:vAlign w:val="center"/>
          </w:tcPr>
          <w:p w14:paraId="7ACAD08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46C3F40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51AED37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3A5998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65C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5C7F6D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SL1109</w:t>
            </w:r>
          </w:p>
        </w:tc>
        <w:tc>
          <w:tcPr>
            <w:tcW w:w="6031" w:type="dxa"/>
            <w:gridSpan w:val="3"/>
            <w:noWrap w:val="0"/>
            <w:vAlign w:val="center"/>
          </w:tcPr>
          <w:p w14:paraId="7F55067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地下室外墙穿墙管道防水措施缺失</w:t>
            </w:r>
          </w:p>
        </w:tc>
        <w:tc>
          <w:tcPr>
            <w:tcW w:w="1437" w:type="dxa"/>
            <w:gridSpan w:val="3"/>
            <w:noWrap w:val="0"/>
            <w:vAlign w:val="center"/>
          </w:tcPr>
          <w:p w14:paraId="27DABAE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5AAD21E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EACAD6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7E440F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850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64F2870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SL1110</w:t>
            </w:r>
          </w:p>
        </w:tc>
        <w:tc>
          <w:tcPr>
            <w:tcW w:w="6031" w:type="dxa"/>
            <w:gridSpan w:val="3"/>
            <w:noWrap w:val="0"/>
            <w:vAlign w:val="center"/>
          </w:tcPr>
          <w:p w14:paraId="11746A4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种植式车库顶板未按要求设计耐根穿刺防水卷材</w:t>
            </w:r>
          </w:p>
        </w:tc>
        <w:tc>
          <w:tcPr>
            <w:tcW w:w="1437" w:type="dxa"/>
            <w:gridSpan w:val="3"/>
            <w:noWrap w:val="0"/>
            <w:vAlign w:val="center"/>
          </w:tcPr>
          <w:p w14:paraId="455D2B6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7C362E1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4EFDD5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2D4373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12A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0CE862A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SL1201</w:t>
            </w:r>
          </w:p>
        </w:tc>
        <w:tc>
          <w:tcPr>
            <w:tcW w:w="6031" w:type="dxa"/>
            <w:gridSpan w:val="3"/>
            <w:noWrap w:val="0"/>
            <w:vAlign w:val="center"/>
          </w:tcPr>
          <w:p w14:paraId="0BCDCF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后浇带支撑先拆后撑或未撑，未设置独立支撑</w:t>
            </w:r>
          </w:p>
        </w:tc>
        <w:tc>
          <w:tcPr>
            <w:tcW w:w="1437" w:type="dxa"/>
            <w:gridSpan w:val="3"/>
            <w:noWrap w:val="0"/>
            <w:vAlign w:val="center"/>
          </w:tcPr>
          <w:p w14:paraId="2ACB59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72046F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F24605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7017AE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1E0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1B029AC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SL1202</w:t>
            </w:r>
          </w:p>
        </w:tc>
        <w:tc>
          <w:tcPr>
            <w:tcW w:w="6031" w:type="dxa"/>
            <w:gridSpan w:val="3"/>
            <w:noWrap w:val="0"/>
            <w:vAlign w:val="center"/>
          </w:tcPr>
          <w:p w14:paraId="22A6ADC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后浇带止水钢板漏设或严重锈蚀</w:t>
            </w:r>
          </w:p>
        </w:tc>
        <w:tc>
          <w:tcPr>
            <w:tcW w:w="1437" w:type="dxa"/>
            <w:gridSpan w:val="3"/>
            <w:noWrap w:val="0"/>
            <w:vAlign w:val="center"/>
          </w:tcPr>
          <w:p w14:paraId="27AF7B1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6AA5C6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0B545D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3ECC35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303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0F494AC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SL1203</w:t>
            </w:r>
          </w:p>
        </w:tc>
        <w:tc>
          <w:tcPr>
            <w:tcW w:w="6031" w:type="dxa"/>
            <w:gridSpan w:val="3"/>
            <w:noWrap w:val="0"/>
            <w:vAlign w:val="center"/>
          </w:tcPr>
          <w:p w14:paraId="1BC9D67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地下室防水未按图纸及规范图集施工（漏设、少设、降低标准）</w:t>
            </w:r>
          </w:p>
        </w:tc>
        <w:tc>
          <w:tcPr>
            <w:tcW w:w="1437" w:type="dxa"/>
            <w:gridSpan w:val="3"/>
            <w:noWrap w:val="0"/>
            <w:vAlign w:val="center"/>
          </w:tcPr>
          <w:p w14:paraId="713CFC3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5405C2E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56FE3BE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BFDC60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5CE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175" w:type="dxa"/>
            <w:noWrap w:val="0"/>
            <w:vAlign w:val="center"/>
          </w:tcPr>
          <w:p w14:paraId="402BB58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SL1204</w:t>
            </w:r>
          </w:p>
        </w:tc>
        <w:tc>
          <w:tcPr>
            <w:tcW w:w="6031" w:type="dxa"/>
            <w:gridSpan w:val="3"/>
            <w:noWrap w:val="0"/>
            <w:vAlign w:val="center"/>
          </w:tcPr>
          <w:p w14:paraId="78BC32D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底板、地下室外墙、地下室顶板等部位，防水层施工质量大面积不符合设计和规范要求，如搭接不到位、空鼓、粘贴不紧密、接缝不密实、防水层转角处理不到位等</w:t>
            </w:r>
          </w:p>
        </w:tc>
        <w:tc>
          <w:tcPr>
            <w:tcW w:w="1437" w:type="dxa"/>
            <w:gridSpan w:val="3"/>
            <w:noWrap w:val="0"/>
            <w:vAlign w:val="center"/>
          </w:tcPr>
          <w:p w14:paraId="200DC1F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867EB9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0101E8D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719BC6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A80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7FFF89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SL1205</w:t>
            </w:r>
          </w:p>
        </w:tc>
        <w:tc>
          <w:tcPr>
            <w:tcW w:w="6031" w:type="dxa"/>
            <w:gridSpan w:val="3"/>
            <w:noWrap w:val="0"/>
            <w:vAlign w:val="center"/>
          </w:tcPr>
          <w:p w14:paraId="69AE89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施工单位细部做法与设计文件严重不符</w:t>
            </w:r>
          </w:p>
        </w:tc>
        <w:tc>
          <w:tcPr>
            <w:tcW w:w="1437" w:type="dxa"/>
            <w:gridSpan w:val="3"/>
            <w:noWrap w:val="0"/>
            <w:vAlign w:val="center"/>
          </w:tcPr>
          <w:p w14:paraId="1DAC379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2CE0717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46D459E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5FA653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7E3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6D31A27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SL1206</w:t>
            </w:r>
          </w:p>
        </w:tc>
        <w:tc>
          <w:tcPr>
            <w:tcW w:w="6031" w:type="dxa"/>
            <w:gridSpan w:val="3"/>
            <w:noWrap w:val="0"/>
            <w:vAlign w:val="center"/>
          </w:tcPr>
          <w:p w14:paraId="2FA0675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底板防水卷材非湿铺法施工时，在积水环境下施工</w:t>
            </w:r>
          </w:p>
        </w:tc>
        <w:tc>
          <w:tcPr>
            <w:tcW w:w="1437" w:type="dxa"/>
            <w:gridSpan w:val="3"/>
            <w:noWrap w:val="0"/>
            <w:vAlign w:val="center"/>
          </w:tcPr>
          <w:p w14:paraId="79BEBBB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48634A8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23A6EDC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CB601A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4BC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DAD5DA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SL1207</w:t>
            </w:r>
          </w:p>
        </w:tc>
        <w:tc>
          <w:tcPr>
            <w:tcW w:w="6031" w:type="dxa"/>
            <w:gridSpan w:val="3"/>
            <w:noWrap w:val="0"/>
            <w:vAlign w:val="center"/>
          </w:tcPr>
          <w:p w14:paraId="371B9E9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底板、地下室外墙、地下室顶板等部位，大面积涂膜防水层厚度不足（包括未按规定分层施工）</w:t>
            </w:r>
          </w:p>
        </w:tc>
        <w:tc>
          <w:tcPr>
            <w:tcW w:w="1437" w:type="dxa"/>
            <w:gridSpan w:val="3"/>
            <w:noWrap w:val="0"/>
            <w:vAlign w:val="center"/>
          </w:tcPr>
          <w:p w14:paraId="2195E48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2897F42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1868103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825497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BD8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0E4B395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SL1208</w:t>
            </w:r>
          </w:p>
        </w:tc>
        <w:tc>
          <w:tcPr>
            <w:tcW w:w="6031" w:type="dxa"/>
            <w:gridSpan w:val="3"/>
            <w:noWrap w:val="0"/>
            <w:vAlign w:val="center"/>
          </w:tcPr>
          <w:p w14:paraId="423A48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种植式车库顶板未按设计图纸要求使用耐根穿刺防水卷材</w:t>
            </w:r>
          </w:p>
        </w:tc>
        <w:tc>
          <w:tcPr>
            <w:tcW w:w="1437" w:type="dxa"/>
            <w:gridSpan w:val="3"/>
            <w:noWrap w:val="0"/>
            <w:vAlign w:val="center"/>
          </w:tcPr>
          <w:p w14:paraId="3521BC1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006D755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2C031BB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9B9EDF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68A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5F58F0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SL1209</w:t>
            </w:r>
          </w:p>
        </w:tc>
        <w:tc>
          <w:tcPr>
            <w:tcW w:w="6031" w:type="dxa"/>
            <w:gridSpan w:val="3"/>
            <w:noWrap w:val="0"/>
            <w:vAlign w:val="center"/>
          </w:tcPr>
          <w:p w14:paraId="42A6F54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车库顶板使用涂料和卷材双层防水时，在涂料未干透前铺设防水卷材</w:t>
            </w:r>
          </w:p>
        </w:tc>
        <w:tc>
          <w:tcPr>
            <w:tcW w:w="1437" w:type="dxa"/>
            <w:gridSpan w:val="3"/>
            <w:noWrap w:val="0"/>
            <w:vAlign w:val="center"/>
          </w:tcPr>
          <w:p w14:paraId="0731ADA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0B3B413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64DA70F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064AA6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00C0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38A0485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SL1210</w:t>
            </w:r>
          </w:p>
        </w:tc>
        <w:tc>
          <w:tcPr>
            <w:tcW w:w="6031" w:type="dxa"/>
            <w:gridSpan w:val="3"/>
            <w:noWrap w:val="0"/>
            <w:vAlign w:val="center"/>
          </w:tcPr>
          <w:p w14:paraId="6341A8D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在防水涂料施工完成后，铺贴自粘卷材时使用热熔粘贴</w:t>
            </w:r>
          </w:p>
        </w:tc>
        <w:tc>
          <w:tcPr>
            <w:tcW w:w="1437" w:type="dxa"/>
            <w:gridSpan w:val="3"/>
            <w:noWrap w:val="0"/>
            <w:vAlign w:val="center"/>
          </w:tcPr>
          <w:p w14:paraId="278BB95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0605CE1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746AAAB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96275F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28C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358144D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SL1211</w:t>
            </w:r>
          </w:p>
        </w:tc>
        <w:tc>
          <w:tcPr>
            <w:tcW w:w="6031" w:type="dxa"/>
            <w:gridSpan w:val="3"/>
            <w:noWrap w:val="0"/>
            <w:vAlign w:val="center"/>
          </w:tcPr>
          <w:p w14:paraId="160695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电梯井基坑及侧墙大面积渗漏水，消防电梯井无排水设施</w:t>
            </w:r>
          </w:p>
        </w:tc>
        <w:tc>
          <w:tcPr>
            <w:tcW w:w="1437" w:type="dxa"/>
            <w:gridSpan w:val="3"/>
            <w:noWrap w:val="0"/>
            <w:vAlign w:val="center"/>
          </w:tcPr>
          <w:p w14:paraId="2EC3A2C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A64F38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6C5F2C4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F5D624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3DD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0" w:hRule="atLeast"/>
        </w:trPr>
        <w:tc>
          <w:tcPr>
            <w:tcW w:w="2175" w:type="dxa"/>
            <w:noWrap w:val="0"/>
            <w:vAlign w:val="center"/>
          </w:tcPr>
          <w:p w14:paraId="4BB7734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SL1212</w:t>
            </w:r>
          </w:p>
        </w:tc>
        <w:tc>
          <w:tcPr>
            <w:tcW w:w="6031" w:type="dxa"/>
            <w:gridSpan w:val="3"/>
            <w:noWrap w:val="0"/>
            <w:vAlign w:val="center"/>
          </w:tcPr>
          <w:p w14:paraId="2A4C627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1）施工缝、变形缝的钢板止水带、橡胶止水带、遇水膨胀止水条等多数未按设计要求施工，漏设或严重违规，不符合要求；2）止水钢板厚度不符合设计要求；止水钢板多数漏焊、缺焊、焊缝设置在转角处；3）后浇带等施工缝，在施工前基层清理严重不到位，混凝土未使用微膨胀混凝土；4）施工冷缝、变形缝等部位出现多处渗漏。</w:t>
            </w:r>
          </w:p>
        </w:tc>
        <w:tc>
          <w:tcPr>
            <w:tcW w:w="1437" w:type="dxa"/>
            <w:gridSpan w:val="3"/>
            <w:noWrap w:val="0"/>
            <w:vAlign w:val="center"/>
          </w:tcPr>
          <w:p w14:paraId="2F43F8D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430A009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501BC34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CA5609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253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79C8FFE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SL1213</w:t>
            </w:r>
          </w:p>
        </w:tc>
        <w:tc>
          <w:tcPr>
            <w:tcW w:w="6031" w:type="dxa"/>
            <w:gridSpan w:val="3"/>
            <w:noWrap w:val="0"/>
            <w:vAlign w:val="center"/>
          </w:tcPr>
          <w:p w14:paraId="3F34D8F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地下室顶板上翻梁未设置过水孔或者其他排水措施</w:t>
            </w:r>
          </w:p>
        </w:tc>
        <w:tc>
          <w:tcPr>
            <w:tcW w:w="1437" w:type="dxa"/>
            <w:gridSpan w:val="3"/>
            <w:noWrap w:val="0"/>
            <w:vAlign w:val="center"/>
          </w:tcPr>
          <w:p w14:paraId="5974B62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8EA1A9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638CFA9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B21ED4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978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25F24E4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SL1214</w:t>
            </w:r>
          </w:p>
        </w:tc>
        <w:tc>
          <w:tcPr>
            <w:tcW w:w="6031" w:type="dxa"/>
            <w:gridSpan w:val="3"/>
            <w:noWrap w:val="0"/>
            <w:vAlign w:val="center"/>
          </w:tcPr>
          <w:p w14:paraId="4445F82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降水井、格构柱、塔吊等穿越底板的防水措施缺失</w:t>
            </w:r>
          </w:p>
        </w:tc>
        <w:tc>
          <w:tcPr>
            <w:tcW w:w="1437" w:type="dxa"/>
            <w:gridSpan w:val="3"/>
            <w:noWrap w:val="0"/>
            <w:vAlign w:val="center"/>
          </w:tcPr>
          <w:p w14:paraId="60B755D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3F19804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A22F94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099BC6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74E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2367987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SL1215</w:t>
            </w:r>
          </w:p>
        </w:tc>
        <w:tc>
          <w:tcPr>
            <w:tcW w:w="6031" w:type="dxa"/>
            <w:gridSpan w:val="3"/>
            <w:noWrap w:val="0"/>
            <w:vAlign w:val="center"/>
          </w:tcPr>
          <w:p w14:paraId="2BD6A0B6">
            <w:pPr>
              <w:pStyle w:val="11"/>
              <w:widowControl w:val="0"/>
              <w:tabs>
                <w:tab w:val="left" w:pos="439"/>
              </w:tabs>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未按设计要求采取持续降水措施；</w:t>
            </w:r>
          </w:p>
          <w:p w14:paraId="685BF614">
            <w:pPr>
              <w:pStyle w:val="11"/>
              <w:widowControl w:val="0"/>
              <w:tabs>
                <w:tab w:val="left" w:pos="438"/>
              </w:tabs>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地库结构上浮。</w:t>
            </w:r>
          </w:p>
        </w:tc>
        <w:tc>
          <w:tcPr>
            <w:tcW w:w="1437" w:type="dxa"/>
            <w:gridSpan w:val="3"/>
            <w:noWrap w:val="0"/>
            <w:vAlign w:val="center"/>
          </w:tcPr>
          <w:p w14:paraId="62FBFE9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68FD681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7446101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B58C7C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BAF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1566B5B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SL1216</w:t>
            </w:r>
          </w:p>
        </w:tc>
        <w:tc>
          <w:tcPr>
            <w:tcW w:w="6031" w:type="dxa"/>
            <w:gridSpan w:val="3"/>
            <w:noWrap w:val="0"/>
            <w:vAlign w:val="center"/>
          </w:tcPr>
          <w:p w14:paraId="36B153C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地下室外墙的止水螺杆防水处理，大量未按设计或规范要求执行</w:t>
            </w:r>
          </w:p>
        </w:tc>
        <w:tc>
          <w:tcPr>
            <w:tcW w:w="1437" w:type="dxa"/>
            <w:gridSpan w:val="3"/>
            <w:noWrap w:val="0"/>
            <w:vAlign w:val="center"/>
          </w:tcPr>
          <w:p w14:paraId="164A415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3EE7156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253B46F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748701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ACDC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C182A2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SL1217</w:t>
            </w:r>
          </w:p>
        </w:tc>
        <w:tc>
          <w:tcPr>
            <w:tcW w:w="6031" w:type="dxa"/>
            <w:gridSpan w:val="3"/>
            <w:noWrap w:val="0"/>
            <w:vAlign w:val="center"/>
          </w:tcPr>
          <w:p w14:paraId="3CAAEFC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地下室出现大面积开裂渗水</w:t>
            </w:r>
          </w:p>
        </w:tc>
        <w:tc>
          <w:tcPr>
            <w:tcW w:w="1437" w:type="dxa"/>
            <w:gridSpan w:val="3"/>
            <w:noWrap w:val="0"/>
            <w:vAlign w:val="center"/>
          </w:tcPr>
          <w:p w14:paraId="48E0972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306B694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379C72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C93083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BD96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1" w:hRule="atLeast"/>
        </w:trPr>
        <w:tc>
          <w:tcPr>
            <w:tcW w:w="2175" w:type="dxa"/>
            <w:noWrap w:val="0"/>
            <w:vAlign w:val="center"/>
          </w:tcPr>
          <w:p w14:paraId="7BFC02F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SL1218</w:t>
            </w:r>
          </w:p>
        </w:tc>
        <w:tc>
          <w:tcPr>
            <w:tcW w:w="6031" w:type="dxa"/>
            <w:gridSpan w:val="3"/>
            <w:noWrap w:val="0"/>
            <w:vAlign w:val="center"/>
          </w:tcPr>
          <w:p w14:paraId="37927FA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施工主要通道以及重物堆场区（如PC）地下室顶板，无加固支撑</w:t>
            </w:r>
          </w:p>
        </w:tc>
        <w:tc>
          <w:tcPr>
            <w:tcW w:w="1437" w:type="dxa"/>
            <w:gridSpan w:val="3"/>
            <w:noWrap w:val="0"/>
            <w:vAlign w:val="center"/>
          </w:tcPr>
          <w:p w14:paraId="290834D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F3AA55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660B45A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EB4E72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4F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73B419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SL1219</w:t>
            </w:r>
          </w:p>
        </w:tc>
        <w:tc>
          <w:tcPr>
            <w:tcW w:w="6031" w:type="dxa"/>
            <w:gridSpan w:val="3"/>
            <w:noWrap w:val="0"/>
            <w:vAlign w:val="center"/>
          </w:tcPr>
          <w:p w14:paraId="73452DB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地下车库与住宅地下室连通道伸缩缝处渗漏注浆处理后，仍有大面积渗漏</w:t>
            </w:r>
          </w:p>
        </w:tc>
        <w:tc>
          <w:tcPr>
            <w:tcW w:w="1437" w:type="dxa"/>
            <w:gridSpan w:val="3"/>
            <w:noWrap w:val="0"/>
            <w:vAlign w:val="center"/>
          </w:tcPr>
          <w:p w14:paraId="3398F01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6678CE0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1E6F862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D64A0B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2F5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trPr>
        <w:tc>
          <w:tcPr>
            <w:tcW w:w="2175" w:type="dxa"/>
            <w:noWrap w:val="0"/>
            <w:vAlign w:val="center"/>
          </w:tcPr>
          <w:p w14:paraId="229192A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SL1301</w:t>
            </w:r>
          </w:p>
        </w:tc>
        <w:tc>
          <w:tcPr>
            <w:tcW w:w="6031" w:type="dxa"/>
            <w:gridSpan w:val="3"/>
            <w:noWrap w:val="0"/>
            <w:vAlign w:val="center"/>
          </w:tcPr>
          <w:p w14:paraId="03A5B15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防水材料选型、选择不当，与图纸要求不符，与实际匹配度偏差过大；或者属于《浙江省建设领域“十四五”推广应用和限制、禁止使用技术公告（第一批）》中的防水卷材</w:t>
            </w:r>
          </w:p>
        </w:tc>
        <w:tc>
          <w:tcPr>
            <w:tcW w:w="1437" w:type="dxa"/>
            <w:gridSpan w:val="3"/>
            <w:noWrap w:val="0"/>
            <w:vAlign w:val="center"/>
          </w:tcPr>
          <w:p w14:paraId="3E4B0B7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4A8C7BD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333CFE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5F4493D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5E7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4828F3A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SL1302</w:t>
            </w:r>
          </w:p>
        </w:tc>
        <w:tc>
          <w:tcPr>
            <w:tcW w:w="6031" w:type="dxa"/>
            <w:gridSpan w:val="3"/>
            <w:noWrap w:val="0"/>
            <w:vAlign w:val="center"/>
          </w:tcPr>
          <w:p w14:paraId="078218B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现场防水材料品牌、规格、型号与复试检测报告不符</w:t>
            </w:r>
          </w:p>
        </w:tc>
        <w:tc>
          <w:tcPr>
            <w:tcW w:w="1437" w:type="dxa"/>
            <w:gridSpan w:val="3"/>
            <w:noWrap w:val="0"/>
            <w:vAlign w:val="center"/>
          </w:tcPr>
          <w:p w14:paraId="412B24E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52FE54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2E86CC3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6A8D3B5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2F3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175" w:type="dxa"/>
            <w:noWrap w:val="0"/>
            <w:vAlign w:val="center"/>
          </w:tcPr>
          <w:p w14:paraId="426C82B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SL1303</w:t>
            </w:r>
          </w:p>
        </w:tc>
        <w:tc>
          <w:tcPr>
            <w:tcW w:w="6031" w:type="dxa"/>
            <w:gridSpan w:val="3"/>
            <w:noWrap w:val="0"/>
            <w:vAlign w:val="center"/>
          </w:tcPr>
          <w:p w14:paraId="71C1EFE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防水材料质量标准不符合设计要求和施工验收规范标准要求，如使用假次材料、厚度严重不足等；</w:t>
            </w:r>
          </w:p>
        </w:tc>
        <w:tc>
          <w:tcPr>
            <w:tcW w:w="1437" w:type="dxa"/>
            <w:gridSpan w:val="3"/>
            <w:noWrap w:val="0"/>
            <w:vAlign w:val="center"/>
          </w:tcPr>
          <w:p w14:paraId="529D99D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2AA99C9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3AA0D7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1A1F2C0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FB3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403CDE1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SL1304</w:t>
            </w:r>
          </w:p>
        </w:tc>
        <w:tc>
          <w:tcPr>
            <w:tcW w:w="6031" w:type="dxa"/>
            <w:gridSpan w:val="3"/>
            <w:noWrap w:val="0"/>
            <w:vAlign w:val="center"/>
          </w:tcPr>
          <w:p w14:paraId="31F4F07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防水材料现场未检先用，后检测存在问题的</w:t>
            </w:r>
          </w:p>
        </w:tc>
        <w:tc>
          <w:tcPr>
            <w:tcW w:w="1437" w:type="dxa"/>
            <w:gridSpan w:val="3"/>
            <w:noWrap w:val="0"/>
            <w:vAlign w:val="center"/>
          </w:tcPr>
          <w:p w14:paraId="58AA733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01B0E21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2613B3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3E9CEDE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F6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6E94789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SL1305</w:t>
            </w:r>
          </w:p>
        </w:tc>
        <w:tc>
          <w:tcPr>
            <w:tcW w:w="6031" w:type="dxa"/>
            <w:gridSpan w:val="3"/>
            <w:noWrap w:val="0"/>
            <w:vAlign w:val="center"/>
          </w:tcPr>
          <w:p w14:paraId="066B1CA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种植式地库顶板未使用耐根穿刺卷材</w:t>
            </w:r>
          </w:p>
        </w:tc>
        <w:tc>
          <w:tcPr>
            <w:tcW w:w="1437" w:type="dxa"/>
            <w:gridSpan w:val="3"/>
            <w:noWrap w:val="0"/>
            <w:vAlign w:val="center"/>
          </w:tcPr>
          <w:p w14:paraId="5A950C8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E44369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67D78D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30F1A26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8C6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07E7E7F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SL1306</w:t>
            </w:r>
          </w:p>
        </w:tc>
        <w:tc>
          <w:tcPr>
            <w:tcW w:w="6031" w:type="dxa"/>
            <w:gridSpan w:val="3"/>
            <w:noWrap w:val="0"/>
            <w:vAlign w:val="center"/>
          </w:tcPr>
          <w:p w14:paraId="3907558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未按设计要求使用抗渗砼或未按设计要求添加抗裂纤维</w:t>
            </w:r>
          </w:p>
        </w:tc>
        <w:tc>
          <w:tcPr>
            <w:tcW w:w="1437" w:type="dxa"/>
            <w:gridSpan w:val="3"/>
            <w:noWrap w:val="0"/>
            <w:vAlign w:val="center"/>
          </w:tcPr>
          <w:p w14:paraId="03D571C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4A7D5DF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67F32A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49DBA0C5">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9A0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0A0EB3A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SL1307</w:t>
            </w:r>
          </w:p>
        </w:tc>
        <w:tc>
          <w:tcPr>
            <w:tcW w:w="6031" w:type="dxa"/>
            <w:gridSpan w:val="3"/>
            <w:noWrap w:val="0"/>
            <w:vAlign w:val="center"/>
          </w:tcPr>
          <w:p w14:paraId="3A41E7A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混凝土抗渗等级未达到设计要求；成批材料检测不合格</w:t>
            </w:r>
          </w:p>
        </w:tc>
        <w:tc>
          <w:tcPr>
            <w:tcW w:w="1437" w:type="dxa"/>
            <w:gridSpan w:val="3"/>
            <w:noWrap w:val="0"/>
            <w:vAlign w:val="center"/>
          </w:tcPr>
          <w:p w14:paraId="07570FE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02F63F6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0C4B2B0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2A25E1D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D92D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3955" w:type="dxa"/>
            <w:gridSpan w:val="18"/>
            <w:noWrap w:val="0"/>
            <w:vAlign w:val="center"/>
          </w:tcPr>
          <w:p w14:paraId="74DD1F7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二、外墙</w:t>
            </w:r>
          </w:p>
        </w:tc>
      </w:tr>
      <w:tr w14:paraId="2213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trPr>
        <w:tc>
          <w:tcPr>
            <w:tcW w:w="2175" w:type="dxa"/>
            <w:vMerge w:val="restart"/>
            <w:noWrap w:val="0"/>
            <w:vAlign w:val="center"/>
          </w:tcPr>
          <w:p w14:paraId="0CBEA8C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031" w:type="dxa"/>
            <w:gridSpan w:val="3"/>
            <w:vMerge w:val="restart"/>
            <w:noWrap w:val="0"/>
            <w:vAlign w:val="center"/>
          </w:tcPr>
          <w:p w14:paraId="2FDA2BD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337" w:type="dxa"/>
            <w:gridSpan w:val="12"/>
            <w:noWrap w:val="0"/>
            <w:vAlign w:val="center"/>
          </w:tcPr>
          <w:p w14:paraId="2076FC3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12" w:type="dxa"/>
            <w:gridSpan w:val="2"/>
            <w:vMerge w:val="restart"/>
            <w:noWrap w:val="0"/>
            <w:vAlign w:val="center"/>
          </w:tcPr>
          <w:p w14:paraId="127A856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44FA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2175" w:type="dxa"/>
            <w:vMerge w:val="continue"/>
            <w:noWrap w:val="0"/>
            <w:vAlign w:val="center"/>
          </w:tcPr>
          <w:p w14:paraId="51C7A275">
            <w:pPr>
              <w:widowControl w:val="0"/>
              <w:kinsoku/>
              <w:adjustRightInd/>
              <w:snapToGrid/>
              <w:spacing w:line="360" w:lineRule="auto"/>
              <w:jc w:val="center"/>
              <w:textAlignment w:val="auto"/>
              <w:rPr>
                <w:rFonts w:ascii="仿宋" w:hAnsi="仿宋" w:eastAsia="仿宋" w:cs="仿宋"/>
                <w:color w:val="auto"/>
                <w:sz w:val="24"/>
                <w:szCs w:val="24"/>
              </w:rPr>
            </w:pPr>
          </w:p>
        </w:tc>
        <w:tc>
          <w:tcPr>
            <w:tcW w:w="6031" w:type="dxa"/>
            <w:gridSpan w:val="3"/>
            <w:vMerge w:val="continue"/>
            <w:noWrap w:val="0"/>
            <w:vAlign w:val="center"/>
          </w:tcPr>
          <w:p w14:paraId="3BC75CFB">
            <w:pPr>
              <w:widowControl w:val="0"/>
              <w:kinsoku/>
              <w:adjustRightInd/>
              <w:snapToGrid/>
              <w:spacing w:line="360" w:lineRule="auto"/>
              <w:jc w:val="center"/>
              <w:textAlignment w:val="auto"/>
              <w:rPr>
                <w:rFonts w:ascii="仿宋" w:hAnsi="仿宋" w:eastAsia="仿宋" w:cs="仿宋"/>
                <w:color w:val="auto"/>
                <w:sz w:val="24"/>
                <w:szCs w:val="24"/>
              </w:rPr>
            </w:pPr>
          </w:p>
        </w:tc>
        <w:tc>
          <w:tcPr>
            <w:tcW w:w="1437" w:type="dxa"/>
            <w:gridSpan w:val="3"/>
            <w:noWrap w:val="0"/>
            <w:vAlign w:val="center"/>
          </w:tcPr>
          <w:p w14:paraId="20F9AA2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448" w:type="dxa"/>
            <w:gridSpan w:val="3"/>
            <w:noWrap w:val="0"/>
            <w:vAlign w:val="center"/>
          </w:tcPr>
          <w:p w14:paraId="59A92A4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452" w:type="dxa"/>
            <w:gridSpan w:val="6"/>
            <w:noWrap w:val="0"/>
            <w:vAlign w:val="center"/>
          </w:tcPr>
          <w:p w14:paraId="5A372AD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12" w:type="dxa"/>
            <w:gridSpan w:val="2"/>
            <w:vMerge w:val="continue"/>
            <w:noWrap w:val="0"/>
            <w:vAlign w:val="center"/>
          </w:tcPr>
          <w:p w14:paraId="1DCDCACB">
            <w:pPr>
              <w:widowControl w:val="0"/>
              <w:kinsoku/>
              <w:adjustRightInd/>
              <w:snapToGrid/>
              <w:spacing w:line="360" w:lineRule="auto"/>
              <w:jc w:val="center"/>
              <w:textAlignment w:val="auto"/>
              <w:rPr>
                <w:rFonts w:ascii="仿宋" w:hAnsi="仿宋" w:eastAsia="仿宋" w:cs="仿宋"/>
                <w:color w:val="auto"/>
                <w:sz w:val="24"/>
                <w:szCs w:val="24"/>
              </w:rPr>
            </w:pPr>
          </w:p>
        </w:tc>
      </w:tr>
      <w:tr w14:paraId="746A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4F583D5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SL2101</w:t>
            </w:r>
          </w:p>
        </w:tc>
        <w:tc>
          <w:tcPr>
            <w:tcW w:w="6031" w:type="dxa"/>
            <w:gridSpan w:val="3"/>
            <w:noWrap w:val="0"/>
            <w:vAlign w:val="center"/>
          </w:tcPr>
          <w:p w14:paraId="75115E5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预制构件与现浇构件结合处的防水节点设计不明确</w:t>
            </w:r>
          </w:p>
        </w:tc>
        <w:tc>
          <w:tcPr>
            <w:tcW w:w="1437" w:type="dxa"/>
            <w:gridSpan w:val="3"/>
            <w:noWrap w:val="0"/>
            <w:vAlign w:val="center"/>
          </w:tcPr>
          <w:p w14:paraId="16D082D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2E856A7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07CED13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E6BC01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D33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51C909D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SL2102</w:t>
            </w:r>
          </w:p>
        </w:tc>
        <w:tc>
          <w:tcPr>
            <w:tcW w:w="6031" w:type="dxa"/>
            <w:gridSpan w:val="3"/>
            <w:noWrap w:val="0"/>
            <w:vAlign w:val="center"/>
          </w:tcPr>
          <w:p w14:paraId="2A6353C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未</w:t>
            </w:r>
            <w:r>
              <w:rPr>
                <w:rFonts w:hint="eastAsia" w:ascii="仿宋" w:hAnsi="仿宋" w:eastAsia="仿宋" w:cs="仿宋"/>
                <w:color w:val="auto"/>
                <w:sz w:val="24"/>
                <w:szCs w:val="24"/>
              </w:rPr>
              <w:t>明确外墙防水设计要求、做法、检查验收标准；</w:t>
            </w:r>
          </w:p>
        </w:tc>
        <w:tc>
          <w:tcPr>
            <w:tcW w:w="1437" w:type="dxa"/>
            <w:gridSpan w:val="3"/>
            <w:noWrap w:val="0"/>
            <w:vAlign w:val="center"/>
          </w:tcPr>
          <w:p w14:paraId="496EF28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1F12D45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45F5D31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E704D2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F95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7870A0F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SL2103</w:t>
            </w:r>
          </w:p>
        </w:tc>
        <w:tc>
          <w:tcPr>
            <w:tcW w:w="6031" w:type="dxa"/>
            <w:gridSpan w:val="3"/>
            <w:noWrap w:val="0"/>
            <w:vAlign w:val="center"/>
          </w:tcPr>
          <w:p w14:paraId="2E6FA058">
            <w:pPr>
              <w:pStyle w:val="11"/>
              <w:widowControl w:val="0"/>
              <w:kinsoku/>
              <w:adjustRightInd/>
              <w:snapToGrid/>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外墙细部防水节点做法（外墙、空调板、雨棚、装饰线条、女儿墙等部位），设计表达不全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特别是PC设备平台等）</w:t>
            </w:r>
          </w:p>
        </w:tc>
        <w:tc>
          <w:tcPr>
            <w:tcW w:w="1437" w:type="dxa"/>
            <w:gridSpan w:val="3"/>
            <w:noWrap w:val="0"/>
            <w:vAlign w:val="center"/>
          </w:tcPr>
          <w:p w14:paraId="5BE82A4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3900413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2B68D13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622142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0E8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175" w:type="dxa"/>
            <w:noWrap w:val="0"/>
            <w:vAlign w:val="center"/>
          </w:tcPr>
          <w:p w14:paraId="6A9BBFB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SL2104</w:t>
            </w:r>
          </w:p>
        </w:tc>
        <w:tc>
          <w:tcPr>
            <w:tcW w:w="6031" w:type="dxa"/>
            <w:gridSpan w:val="3"/>
            <w:noWrap w:val="0"/>
            <w:vAlign w:val="center"/>
          </w:tcPr>
          <w:p w14:paraId="02E1DEC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设计对PC接缝防水的工艺和材料的选用，不符合《装配式建筑质量问题防控技术指引（试行）》（杭建工业办[</w:t>
            </w:r>
            <w:r>
              <w:rPr>
                <w:rFonts w:hint="eastAsia" w:ascii="仿宋" w:hAnsi="仿宋" w:eastAsia="仿宋" w:cs="仿宋"/>
                <w:color w:val="auto"/>
                <w:sz w:val="24"/>
                <w:szCs w:val="24"/>
                <w:lang w:val="en-US"/>
              </w:rPr>
              <w:t>2023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号）、《装配式混凝土结构施工质量安全控制要点（试行）》等相关政府文件要求</w:t>
            </w:r>
          </w:p>
        </w:tc>
        <w:tc>
          <w:tcPr>
            <w:tcW w:w="1437" w:type="dxa"/>
            <w:gridSpan w:val="3"/>
            <w:noWrap w:val="0"/>
            <w:vAlign w:val="center"/>
          </w:tcPr>
          <w:p w14:paraId="16B69CD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745DA6C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7E3BBB8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DBCE00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70B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1DDC0A2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SL2105</w:t>
            </w:r>
          </w:p>
        </w:tc>
        <w:tc>
          <w:tcPr>
            <w:tcW w:w="6031" w:type="dxa"/>
            <w:gridSpan w:val="3"/>
            <w:noWrap w:val="0"/>
            <w:vAlign w:val="center"/>
          </w:tcPr>
          <w:p w14:paraId="529B602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PC装配式建筑外墙拼缝未设置成外防内堵的防水形式的（PC构件与现浇构件之间）</w:t>
            </w:r>
          </w:p>
        </w:tc>
        <w:tc>
          <w:tcPr>
            <w:tcW w:w="1437" w:type="dxa"/>
            <w:gridSpan w:val="3"/>
            <w:noWrap w:val="0"/>
            <w:vAlign w:val="center"/>
          </w:tcPr>
          <w:p w14:paraId="7F04FF1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4DC3C39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CE5CE9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A76374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37A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7097658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SL2106</w:t>
            </w:r>
          </w:p>
        </w:tc>
        <w:tc>
          <w:tcPr>
            <w:tcW w:w="6031" w:type="dxa"/>
            <w:gridSpan w:val="3"/>
            <w:noWrap w:val="0"/>
            <w:vAlign w:val="center"/>
          </w:tcPr>
          <w:p w14:paraId="279335C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PC构件的深化图纸中对PC接缝防水的设计更改，未经原设计审核、盖章（技术章）</w:t>
            </w:r>
          </w:p>
        </w:tc>
        <w:tc>
          <w:tcPr>
            <w:tcW w:w="1437" w:type="dxa"/>
            <w:gridSpan w:val="3"/>
            <w:noWrap w:val="0"/>
            <w:vAlign w:val="center"/>
          </w:tcPr>
          <w:p w14:paraId="2FB1E33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2CF556C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35A3DDB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6154CB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840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7B0E81E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SL2107</w:t>
            </w:r>
          </w:p>
        </w:tc>
        <w:tc>
          <w:tcPr>
            <w:tcW w:w="6031" w:type="dxa"/>
            <w:gridSpan w:val="3"/>
            <w:noWrap w:val="0"/>
            <w:vAlign w:val="center"/>
          </w:tcPr>
          <w:p w14:paraId="3A716B4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住宅外墙饰面中的柔性耐水腻子不能用作防水层，雨水会侵蚀墙体，有保温层时还会降低热工性能，影响日常使用</w:t>
            </w:r>
          </w:p>
        </w:tc>
        <w:tc>
          <w:tcPr>
            <w:tcW w:w="1437" w:type="dxa"/>
            <w:gridSpan w:val="3"/>
            <w:noWrap w:val="0"/>
            <w:vAlign w:val="center"/>
          </w:tcPr>
          <w:p w14:paraId="23B8BB3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48" w:type="dxa"/>
            <w:gridSpan w:val="3"/>
            <w:noWrap w:val="0"/>
            <w:vAlign w:val="center"/>
          </w:tcPr>
          <w:p w14:paraId="70BF322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00EBB6D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3FED15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9E9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1C5DDF05">
            <w:pPr>
              <w:pStyle w:val="11"/>
              <w:widowControl w:val="0"/>
              <w:kinsoku/>
              <w:adjustRightInd/>
              <w:snapToGrid/>
              <w:spacing w:line="360" w:lineRule="auto"/>
              <w:jc w:val="center"/>
              <w:textAlignment w:val="auto"/>
              <w:rPr>
                <w:rFonts w:ascii="仿宋" w:hAnsi="仿宋" w:eastAsia="仿宋" w:cs="仿宋"/>
                <w:color w:val="auto"/>
                <w:sz w:val="24"/>
                <w:szCs w:val="24"/>
              </w:rPr>
            </w:pPr>
          </w:p>
          <w:p w14:paraId="174BFA5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SL2201</w:t>
            </w:r>
          </w:p>
        </w:tc>
        <w:tc>
          <w:tcPr>
            <w:tcW w:w="6031" w:type="dxa"/>
            <w:gridSpan w:val="3"/>
            <w:noWrap w:val="0"/>
            <w:vAlign w:val="center"/>
          </w:tcPr>
          <w:p w14:paraId="7855C1A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施工专项方案中无符合规范要求的外墙穿墙对拉螺杆、脚手架与外架等孔洞的防水做法说明或具体防水施工措施</w:t>
            </w:r>
          </w:p>
        </w:tc>
        <w:tc>
          <w:tcPr>
            <w:tcW w:w="1437" w:type="dxa"/>
            <w:gridSpan w:val="3"/>
            <w:noWrap w:val="0"/>
            <w:vAlign w:val="center"/>
          </w:tcPr>
          <w:p w14:paraId="047A0FC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479EDC5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5B57516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12A9DB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60D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C11AF04">
            <w:pPr>
              <w:pStyle w:val="11"/>
              <w:widowControl w:val="0"/>
              <w:kinsoku/>
              <w:adjustRightInd/>
              <w:snapToGrid/>
              <w:spacing w:line="360" w:lineRule="auto"/>
              <w:jc w:val="center"/>
              <w:textAlignment w:val="auto"/>
              <w:rPr>
                <w:rFonts w:ascii="仿宋" w:hAnsi="仿宋" w:eastAsia="仿宋" w:cs="仿宋"/>
                <w:color w:val="auto"/>
                <w:sz w:val="24"/>
                <w:szCs w:val="24"/>
              </w:rPr>
            </w:pPr>
          </w:p>
          <w:p w14:paraId="5ACBFE8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SL2202</w:t>
            </w:r>
          </w:p>
        </w:tc>
        <w:tc>
          <w:tcPr>
            <w:tcW w:w="6031" w:type="dxa"/>
            <w:gridSpan w:val="3"/>
            <w:noWrap w:val="0"/>
            <w:vAlign w:val="center"/>
          </w:tcPr>
          <w:p w14:paraId="1FFBD8F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外墙穿墙对拉螺杆、脚手架与外架等孔洞的防水较多未按方案要求封堵</w:t>
            </w:r>
          </w:p>
        </w:tc>
        <w:tc>
          <w:tcPr>
            <w:tcW w:w="1437" w:type="dxa"/>
            <w:gridSpan w:val="3"/>
            <w:noWrap w:val="0"/>
            <w:vAlign w:val="center"/>
          </w:tcPr>
          <w:p w14:paraId="166281C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2691C8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75E2A89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18E9D6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377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4B0C9A2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SL2203</w:t>
            </w:r>
          </w:p>
        </w:tc>
        <w:tc>
          <w:tcPr>
            <w:tcW w:w="6031" w:type="dxa"/>
            <w:gridSpan w:val="3"/>
            <w:noWrap w:val="0"/>
            <w:vAlign w:val="center"/>
          </w:tcPr>
          <w:p w14:paraId="761105E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外墙悬挑脚手架拆除后的穿墙槽钢孔洞，多处使用碎砖头、砂浆或聚氨酯泡沫填缝胶进行封堵的</w:t>
            </w:r>
          </w:p>
        </w:tc>
        <w:tc>
          <w:tcPr>
            <w:tcW w:w="1437" w:type="dxa"/>
            <w:gridSpan w:val="3"/>
            <w:noWrap w:val="0"/>
            <w:vAlign w:val="center"/>
          </w:tcPr>
          <w:p w14:paraId="63AAD2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549DBC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7D4FD07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D002965">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0B1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72830B3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SL2204</w:t>
            </w:r>
          </w:p>
        </w:tc>
        <w:tc>
          <w:tcPr>
            <w:tcW w:w="6031" w:type="dxa"/>
            <w:gridSpan w:val="3"/>
            <w:noWrap w:val="0"/>
            <w:vAlign w:val="center"/>
          </w:tcPr>
          <w:p w14:paraId="18022FB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外墙砌体大量灰缝或顶部塞缝不密实</w:t>
            </w:r>
          </w:p>
        </w:tc>
        <w:tc>
          <w:tcPr>
            <w:tcW w:w="1437" w:type="dxa"/>
            <w:gridSpan w:val="3"/>
            <w:noWrap w:val="0"/>
            <w:vAlign w:val="center"/>
          </w:tcPr>
          <w:p w14:paraId="792FDFE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C5B262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275FC0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CEBF7C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0A3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397E919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SL2205</w:t>
            </w:r>
          </w:p>
        </w:tc>
        <w:tc>
          <w:tcPr>
            <w:tcW w:w="6031" w:type="dxa"/>
            <w:gridSpan w:val="3"/>
            <w:noWrap w:val="0"/>
            <w:vAlign w:val="center"/>
          </w:tcPr>
          <w:p w14:paraId="1302717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外墙抹灰前，不同材质墙体间大面积未设置抗裂网格布</w:t>
            </w:r>
          </w:p>
        </w:tc>
        <w:tc>
          <w:tcPr>
            <w:tcW w:w="1437" w:type="dxa"/>
            <w:gridSpan w:val="3"/>
            <w:noWrap w:val="0"/>
            <w:vAlign w:val="center"/>
          </w:tcPr>
          <w:p w14:paraId="6E7C871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3F3428D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74EF77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F299DA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4B2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8CF37E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SL2206</w:t>
            </w:r>
          </w:p>
        </w:tc>
        <w:tc>
          <w:tcPr>
            <w:tcW w:w="6031" w:type="dxa"/>
            <w:gridSpan w:val="3"/>
            <w:noWrap w:val="0"/>
            <w:vAlign w:val="center"/>
          </w:tcPr>
          <w:p w14:paraId="1B9BC06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外墙窗台梁、构造柱浇筑严重不密实</w:t>
            </w:r>
          </w:p>
        </w:tc>
        <w:tc>
          <w:tcPr>
            <w:tcW w:w="1437" w:type="dxa"/>
            <w:gridSpan w:val="3"/>
            <w:noWrap w:val="0"/>
            <w:vAlign w:val="center"/>
          </w:tcPr>
          <w:p w14:paraId="7B5B298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60E6182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18016AB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C0A3925">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AF9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63A5C4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SL2207</w:t>
            </w:r>
          </w:p>
        </w:tc>
        <w:tc>
          <w:tcPr>
            <w:tcW w:w="6031" w:type="dxa"/>
            <w:gridSpan w:val="3"/>
            <w:noWrap w:val="0"/>
            <w:vAlign w:val="center"/>
          </w:tcPr>
          <w:p w14:paraId="1CE509A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PC接缝未按照设计要求施工（密封胶宽度、厚度等严重不足，无法满足设计及规范要求）</w:t>
            </w:r>
          </w:p>
        </w:tc>
        <w:tc>
          <w:tcPr>
            <w:tcW w:w="1437" w:type="dxa"/>
            <w:gridSpan w:val="3"/>
            <w:noWrap w:val="0"/>
            <w:vAlign w:val="center"/>
          </w:tcPr>
          <w:p w14:paraId="20CA9AC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702C12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132F96A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899C76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19A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3A230EF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SL2208</w:t>
            </w:r>
          </w:p>
        </w:tc>
        <w:tc>
          <w:tcPr>
            <w:tcW w:w="6031" w:type="dxa"/>
            <w:gridSpan w:val="3"/>
            <w:noWrap w:val="0"/>
            <w:vAlign w:val="center"/>
          </w:tcPr>
          <w:p w14:paraId="05A9F66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PC外墙防水未进行淋水试验、未按规定进行外墙淋水试验（少于两次）</w:t>
            </w:r>
          </w:p>
        </w:tc>
        <w:tc>
          <w:tcPr>
            <w:tcW w:w="1437" w:type="dxa"/>
            <w:gridSpan w:val="3"/>
            <w:noWrap w:val="0"/>
            <w:vAlign w:val="center"/>
          </w:tcPr>
          <w:p w14:paraId="006B720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EEAFE4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073CFCD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103439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1C5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3EB8D20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SL2209</w:t>
            </w:r>
          </w:p>
        </w:tc>
        <w:tc>
          <w:tcPr>
            <w:tcW w:w="6031" w:type="dxa"/>
            <w:gridSpan w:val="3"/>
            <w:noWrap w:val="0"/>
            <w:vAlign w:val="center"/>
          </w:tcPr>
          <w:p w14:paraId="1E6F77A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外墙外保温面层存在多处龟裂纹或多处裂缝的</w:t>
            </w:r>
          </w:p>
        </w:tc>
        <w:tc>
          <w:tcPr>
            <w:tcW w:w="1437" w:type="dxa"/>
            <w:gridSpan w:val="3"/>
            <w:noWrap w:val="0"/>
            <w:vAlign w:val="center"/>
          </w:tcPr>
          <w:p w14:paraId="2E6A347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65C54AC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76C25D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7CAC7B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96A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1ED8B0C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SL2210</w:t>
            </w:r>
          </w:p>
        </w:tc>
        <w:tc>
          <w:tcPr>
            <w:tcW w:w="6031" w:type="dxa"/>
            <w:gridSpan w:val="3"/>
            <w:noWrap w:val="0"/>
            <w:vAlign w:val="center"/>
          </w:tcPr>
          <w:p w14:paraId="280E626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外墙面出现多处大面积渗漏（含PC接缝）</w:t>
            </w:r>
          </w:p>
        </w:tc>
        <w:tc>
          <w:tcPr>
            <w:tcW w:w="1437" w:type="dxa"/>
            <w:gridSpan w:val="3"/>
            <w:noWrap w:val="0"/>
            <w:vAlign w:val="center"/>
          </w:tcPr>
          <w:p w14:paraId="7B6F68C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81E4DD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39AC18A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A5EDEE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A677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10B54A6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SL2211</w:t>
            </w:r>
          </w:p>
        </w:tc>
        <w:tc>
          <w:tcPr>
            <w:tcW w:w="6031" w:type="dxa"/>
            <w:gridSpan w:val="3"/>
            <w:noWrap w:val="0"/>
            <w:vAlign w:val="center"/>
          </w:tcPr>
          <w:p w14:paraId="41F587A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夹心保温板外墙后浇混凝土进入横向、竖向缝的空腔，导致大量空腔堵塞</w:t>
            </w:r>
          </w:p>
        </w:tc>
        <w:tc>
          <w:tcPr>
            <w:tcW w:w="1437" w:type="dxa"/>
            <w:gridSpan w:val="3"/>
            <w:noWrap w:val="0"/>
            <w:vAlign w:val="center"/>
          </w:tcPr>
          <w:p w14:paraId="133329D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5754BA7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52" w:type="dxa"/>
            <w:gridSpan w:val="6"/>
            <w:noWrap w:val="0"/>
            <w:vAlign w:val="center"/>
          </w:tcPr>
          <w:p w14:paraId="685C56F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48D856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05A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044AB28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SL2301</w:t>
            </w:r>
          </w:p>
        </w:tc>
        <w:tc>
          <w:tcPr>
            <w:tcW w:w="6031" w:type="dxa"/>
            <w:gridSpan w:val="3"/>
            <w:noWrap w:val="0"/>
            <w:vAlign w:val="center"/>
          </w:tcPr>
          <w:p w14:paraId="0A561CA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防水材料品牌、规格、型号与复试检测报告不一致；现场使用假次材料等</w:t>
            </w:r>
          </w:p>
        </w:tc>
        <w:tc>
          <w:tcPr>
            <w:tcW w:w="1437" w:type="dxa"/>
            <w:gridSpan w:val="3"/>
            <w:noWrap w:val="0"/>
            <w:vAlign w:val="center"/>
          </w:tcPr>
          <w:p w14:paraId="28CF7F2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94CF58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12AB3C1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3EAAD55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830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E72C7A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SL2302</w:t>
            </w:r>
          </w:p>
        </w:tc>
        <w:tc>
          <w:tcPr>
            <w:tcW w:w="6031" w:type="dxa"/>
            <w:gridSpan w:val="3"/>
            <w:noWrap w:val="0"/>
            <w:vAlign w:val="center"/>
          </w:tcPr>
          <w:p w14:paraId="3AC9E70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防水材料现场未检先用，后检测存在问题的</w:t>
            </w:r>
          </w:p>
        </w:tc>
        <w:tc>
          <w:tcPr>
            <w:tcW w:w="1437" w:type="dxa"/>
            <w:gridSpan w:val="3"/>
            <w:noWrap w:val="0"/>
            <w:vAlign w:val="center"/>
          </w:tcPr>
          <w:p w14:paraId="135F4EB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3340FFD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22DCF34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3AEFC2B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EF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175" w:type="dxa"/>
            <w:noWrap w:val="0"/>
            <w:vAlign w:val="center"/>
          </w:tcPr>
          <w:p w14:paraId="10FCD8C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SL2303</w:t>
            </w:r>
          </w:p>
        </w:tc>
        <w:tc>
          <w:tcPr>
            <w:tcW w:w="6031" w:type="dxa"/>
            <w:gridSpan w:val="3"/>
            <w:noWrap w:val="0"/>
            <w:vAlign w:val="center"/>
          </w:tcPr>
          <w:p w14:paraId="3FA65C1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材料选型、选择不当，PC构件接缝防水材料的选用，不符合《装配式建筑质量问题防控技术指引（试行）》（杭建工业办[2023]5号）、《装配式混凝土结构施工质量安全控制要点（试行）》等文件的要求</w:t>
            </w:r>
          </w:p>
        </w:tc>
        <w:tc>
          <w:tcPr>
            <w:tcW w:w="1437" w:type="dxa"/>
            <w:gridSpan w:val="3"/>
            <w:noWrap w:val="0"/>
            <w:vAlign w:val="center"/>
          </w:tcPr>
          <w:p w14:paraId="153F1D5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3EB8A8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F1A04B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457D64E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10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11B19EC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SL2304</w:t>
            </w:r>
          </w:p>
        </w:tc>
        <w:tc>
          <w:tcPr>
            <w:tcW w:w="6031" w:type="dxa"/>
            <w:gridSpan w:val="3"/>
            <w:noWrap w:val="0"/>
            <w:vAlign w:val="center"/>
          </w:tcPr>
          <w:p w14:paraId="25FD904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PC堵缝砂浆强度不足，PE棒材质不符合规范要求</w:t>
            </w:r>
          </w:p>
        </w:tc>
        <w:tc>
          <w:tcPr>
            <w:tcW w:w="1437" w:type="dxa"/>
            <w:gridSpan w:val="3"/>
            <w:noWrap w:val="0"/>
            <w:vAlign w:val="center"/>
          </w:tcPr>
          <w:p w14:paraId="2993E32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7964F2B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04DEFB9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7DC9C71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C2A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667A29B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SL2305</w:t>
            </w:r>
          </w:p>
        </w:tc>
        <w:tc>
          <w:tcPr>
            <w:tcW w:w="6031" w:type="dxa"/>
            <w:gridSpan w:val="3"/>
            <w:noWrap w:val="0"/>
            <w:vAlign w:val="center"/>
          </w:tcPr>
          <w:p w14:paraId="2890918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蒸压加气混凝土墙体砌块大面积开裂</w:t>
            </w:r>
          </w:p>
        </w:tc>
        <w:tc>
          <w:tcPr>
            <w:tcW w:w="1437" w:type="dxa"/>
            <w:gridSpan w:val="3"/>
            <w:noWrap w:val="0"/>
            <w:vAlign w:val="center"/>
          </w:tcPr>
          <w:p w14:paraId="0FA6FEE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5E32D33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1BE30BB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1A12659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E3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030EE21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SL2306</w:t>
            </w:r>
          </w:p>
        </w:tc>
        <w:tc>
          <w:tcPr>
            <w:tcW w:w="6031" w:type="dxa"/>
            <w:gridSpan w:val="3"/>
            <w:noWrap w:val="0"/>
            <w:vAlign w:val="center"/>
          </w:tcPr>
          <w:p w14:paraId="56FE81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图纸浇筑砼导墙处用砌块代替</w:t>
            </w:r>
          </w:p>
        </w:tc>
        <w:tc>
          <w:tcPr>
            <w:tcW w:w="1437" w:type="dxa"/>
            <w:gridSpan w:val="3"/>
            <w:noWrap w:val="0"/>
            <w:vAlign w:val="center"/>
          </w:tcPr>
          <w:p w14:paraId="05522CD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5558F11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2031A07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18A1F4C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62BA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56ED1F8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SL2307</w:t>
            </w:r>
          </w:p>
        </w:tc>
        <w:tc>
          <w:tcPr>
            <w:tcW w:w="6031" w:type="dxa"/>
            <w:gridSpan w:val="3"/>
            <w:noWrap w:val="0"/>
            <w:vAlign w:val="center"/>
          </w:tcPr>
          <w:p w14:paraId="66789B5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外墙孔洞用发泡剂防水封堵</w:t>
            </w:r>
          </w:p>
        </w:tc>
        <w:tc>
          <w:tcPr>
            <w:tcW w:w="1437" w:type="dxa"/>
            <w:gridSpan w:val="3"/>
            <w:noWrap w:val="0"/>
            <w:vAlign w:val="center"/>
          </w:tcPr>
          <w:p w14:paraId="5E55470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48" w:type="dxa"/>
            <w:gridSpan w:val="3"/>
            <w:noWrap w:val="0"/>
            <w:vAlign w:val="center"/>
          </w:tcPr>
          <w:p w14:paraId="138637A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52" w:type="dxa"/>
            <w:gridSpan w:val="6"/>
            <w:noWrap w:val="0"/>
            <w:vAlign w:val="center"/>
          </w:tcPr>
          <w:p w14:paraId="6417CC1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67CFE81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EC9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3955" w:type="dxa"/>
            <w:gridSpan w:val="18"/>
            <w:noWrap w:val="0"/>
            <w:vAlign w:val="center"/>
          </w:tcPr>
          <w:p w14:paraId="4DE7526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三、门窗</w:t>
            </w:r>
          </w:p>
        </w:tc>
      </w:tr>
      <w:tr w14:paraId="26784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vMerge w:val="restart"/>
            <w:noWrap w:val="0"/>
            <w:vAlign w:val="center"/>
          </w:tcPr>
          <w:p w14:paraId="719706A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5942" w:type="dxa"/>
            <w:gridSpan w:val="2"/>
            <w:vMerge w:val="restart"/>
            <w:noWrap w:val="0"/>
            <w:vAlign w:val="center"/>
          </w:tcPr>
          <w:p w14:paraId="5BB466D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203" w:type="dxa"/>
            <w:gridSpan w:val="10"/>
            <w:noWrap w:val="0"/>
            <w:vAlign w:val="center"/>
          </w:tcPr>
          <w:p w14:paraId="324B24B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635" w:type="dxa"/>
            <w:gridSpan w:val="5"/>
            <w:vMerge w:val="restart"/>
            <w:noWrap w:val="0"/>
            <w:vAlign w:val="center"/>
          </w:tcPr>
          <w:p w14:paraId="1F2B1BC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12C1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175" w:type="dxa"/>
            <w:vMerge w:val="continue"/>
            <w:noWrap w:val="0"/>
            <w:vAlign w:val="center"/>
          </w:tcPr>
          <w:p w14:paraId="6EB0C465">
            <w:pPr>
              <w:widowControl w:val="0"/>
              <w:kinsoku/>
              <w:adjustRightInd/>
              <w:snapToGrid/>
              <w:spacing w:line="360" w:lineRule="auto"/>
              <w:jc w:val="center"/>
              <w:textAlignment w:val="auto"/>
              <w:rPr>
                <w:rFonts w:ascii="仿宋" w:hAnsi="仿宋" w:eastAsia="仿宋" w:cs="仿宋"/>
                <w:color w:val="auto"/>
                <w:sz w:val="24"/>
                <w:szCs w:val="24"/>
              </w:rPr>
            </w:pPr>
          </w:p>
        </w:tc>
        <w:tc>
          <w:tcPr>
            <w:tcW w:w="5942" w:type="dxa"/>
            <w:gridSpan w:val="2"/>
            <w:vMerge w:val="continue"/>
            <w:noWrap w:val="0"/>
            <w:vAlign w:val="center"/>
          </w:tcPr>
          <w:p w14:paraId="34122E7D">
            <w:pPr>
              <w:widowControl w:val="0"/>
              <w:kinsoku/>
              <w:adjustRightInd/>
              <w:snapToGrid/>
              <w:spacing w:line="360" w:lineRule="auto"/>
              <w:jc w:val="center"/>
              <w:textAlignment w:val="auto"/>
              <w:rPr>
                <w:rFonts w:ascii="仿宋" w:hAnsi="仿宋" w:eastAsia="仿宋" w:cs="仿宋"/>
                <w:color w:val="auto"/>
                <w:sz w:val="24"/>
                <w:szCs w:val="24"/>
              </w:rPr>
            </w:pPr>
          </w:p>
        </w:tc>
        <w:tc>
          <w:tcPr>
            <w:tcW w:w="1376" w:type="dxa"/>
            <w:gridSpan w:val="3"/>
            <w:noWrap w:val="0"/>
            <w:vAlign w:val="center"/>
          </w:tcPr>
          <w:p w14:paraId="6A9C471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412" w:type="dxa"/>
            <w:gridSpan w:val="3"/>
            <w:noWrap w:val="0"/>
            <w:vAlign w:val="center"/>
          </w:tcPr>
          <w:p w14:paraId="6950852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415" w:type="dxa"/>
            <w:gridSpan w:val="4"/>
            <w:noWrap w:val="0"/>
            <w:vAlign w:val="center"/>
          </w:tcPr>
          <w:p w14:paraId="1B1E804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635" w:type="dxa"/>
            <w:gridSpan w:val="5"/>
            <w:vMerge w:val="continue"/>
            <w:noWrap w:val="0"/>
            <w:vAlign w:val="center"/>
          </w:tcPr>
          <w:p w14:paraId="5B624E1E">
            <w:pPr>
              <w:widowControl w:val="0"/>
              <w:kinsoku/>
              <w:adjustRightInd/>
              <w:snapToGrid/>
              <w:spacing w:line="360" w:lineRule="auto"/>
              <w:jc w:val="center"/>
              <w:textAlignment w:val="auto"/>
              <w:rPr>
                <w:rFonts w:ascii="仿宋" w:hAnsi="仿宋" w:eastAsia="仿宋" w:cs="仿宋"/>
                <w:color w:val="auto"/>
                <w:sz w:val="24"/>
                <w:szCs w:val="24"/>
              </w:rPr>
            </w:pPr>
          </w:p>
        </w:tc>
      </w:tr>
      <w:tr w14:paraId="45B2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4E2CA24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SL3101</w:t>
            </w:r>
          </w:p>
        </w:tc>
        <w:tc>
          <w:tcPr>
            <w:tcW w:w="5942" w:type="dxa"/>
            <w:gridSpan w:val="2"/>
            <w:noWrap w:val="0"/>
            <w:vAlign w:val="center"/>
          </w:tcPr>
          <w:p w14:paraId="03A3F38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外门窗两侧及上部设计成砂浆塞缝的</w:t>
            </w:r>
          </w:p>
        </w:tc>
        <w:tc>
          <w:tcPr>
            <w:tcW w:w="1376" w:type="dxa"/>
            <w:gridSpan w:val="3"/>
            <w:noWrap w:val="0"/>
            <w:vAlign w:val="center"/>
          </w:tcPr>
          <w:p w14:paraId="63E7D90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3"/>
            <w:noWrap w:val="0"/>
            <w:vAlign w:val="center"/>
          </w:tcPr>
          <w:p w14:paraId="7617A64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5" w:type="dxa"/>
            <w:gridSpan w:val="4"/>
            <w:noWrap w:val="0"/>
            <w:vAlign w:val="center"/>
          </w:tcPr>
          <w:p w14:paraId="1B259A8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29E9B31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B0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1C3C2DE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SL3102</w:t>
            </w:r>
          </w:p>
        </w:tc>
        <w:tc>
          <w:tcPr>
            <w:tcW w:w="5942" w:type="dxa"/>
            <w:gridSpan w:val="2"/>
            <w:noWrap w:val="0"/>
            <w:vAlign w:val="center"/>
          </w:tcPr>
          <w:p w14:paraId="497F0E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未有明确门窗防水设计要求（含细部防水节点做法）、做法、检查验收标准</w:t>
            </w:r>
          </w:p>
        </w:tc>
        <w:tc>
          <w:tcPr>
            <w:tcW w:w="1376" w:type="dxa"/>
            <w:gridSpan w:val="3"/>
            <w:noWrap w:val="0"/>
            <w:vAlign w:val="center"/>
          </w:tcPr>
          <w:p w14:paraId="097DB86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3"/>
            <w:noWrap w:val="0"/>
            <w:vAlign w:val="center"/>
          </w:tcPr>
          <w:p w14:paraId="0629984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5" w:type="dxa"/>
            <w:gridSpan w:val="4"/>
            <w:noWrap w:val="0"/>
            <w:vAlign w:val="center"/>
          </w:tcPr>
          <w:p w14:paraId="6A08207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261ADF7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0BD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1" w:hRule="atLeast"/>
        </w:trPr>
        <w:tc>
          <w:tcPr>
            <w:tcW w:w="2175" w:type="dxa"/>
            <w:noWrap w:val="0"/>
            <w:vAlign w:val="center"/>
          </w:tcPr>
          <w:p w14:paraId="62AED8C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SL3201</w:t>
            </w:r>
          </w:p>
        </w:tc>
        <w:tc>
          <w:tcPr>
            <w:tcW w:w="5942" w:type="dxa"/>
            <w:gridSpan w:val="2"/>
            <w:noWrap w:val="0"/>
            <w:vAlign w:val="center"/>
          </w:tcPr>
          <w:p w14:paraId="7E96D580">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门窗框安装固定和塞缝过程出现较多不符合要求情况：</w:t>
            </w:r>
          </w:p>
          <w:p w14:paraId="3E2E3835">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附框与墙体、附框与主框间较多塞缝不密实；</w:t>
            </w:r>
          </w:p>
          <w:p w14:paraId="17DBD7E0">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多处聚氨酯填缝剂填嵌不连续、不饱满，未按设计要求进行施工，出现多处透光孔洞的；</w:t>
            </w:r>
          </w:p>
          <w:p w14:paraId="46717221">
            <w:pPr>
              <w:pStyle w:val="11"/>
              <w:widowControl w:val="0"/>
              <w:tabs>
                <w:tab w:val="left" w:pos="43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外门窗框上部或两侧使用聚氨酯剂泡沫填缝胶以外材料的；</w:t>
            </w:r>
          </w:p>
          <w:p w14:paraId="1ADEAA8D">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外门窗下口的窗台和框之间填塞使用发泡剂填塞或普通砂浆封堵；</w:t>
            </w:r>
          </w:p>
          <w:p w14:paraId="54EEE23B">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外门窗下框处塞缝存在多处裂缝丶孔洞丶疏松现象；</w:t>
            </w:r>
          </w:p>
          <w:p w14:paraId="7DBF6A6A">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窗框与墙体之间未预留凹槽进行密封胶施打；</w:t>
            </w:r>
          </w:p>
          <w:p w14:paraId="29A76513">
            <w:pPr>
              <w:pStyle w:val="11"/>
              <w:widowControl w:val="0"/>
              <w:tabs>
                <w:tab w:val="left" w:pos="439"/>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7）</w:t>
            </w:r>
            <w:r>
              <w:rPr>
                <w:rFonts w:hint="eastAsia" w:ascii="仿宋" w:hAnsi="仿宋" w:eastAsia="仿宋" w:cs="仿宋"/>
                <w:color w:val="auto"/>
                <w:sz w:val="24"/>
                <w:szCs w:val="24"/>
              </w:rPr>
              <w:t>密封胶多数漏打、不连续丶断头和小孔洞的；较多厚度小于6mm，不平整、不密实的；密封胶质量差，出现较多开裂、脱胶情况；存在渗漏隐患；</w:t>
            </w:r>
          </w:p>
        </w:tc>
        <w:tc>
          <w:tcPr>
            <w:tcW w:w="1376" w:type="dxa"/>
            <w:gridSpan w:val="3"/>
            <w:noWrap w:val="0"/>
            <w:vAlign w:val="center"/>
          </w:tcPr>
          <w:p w14:paraId="57EB479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2CBF1F0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5" w:type="dxa"/>
            <w:gridSpan w:val="4"/>
            <w:noWrap w:val="0"/>
            <w:vAlign w:val="center"/>
          </w:tcPr>
          <w:p w14:paraId="5ED46BC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26CAB9F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E45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6E9BC52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SL3202</w:t>
            </w:r>
          </w:p>
        </w:tc>
        <w:tc>
          <w:tcPr>
            <w:tcW w:w="5942" w:type="dxa"/>
            <w:gridSpan w:val="2"/>
            <w:noWrap w:val="0"/>
            <w:vAlign w:val="center"/>
          </w:tcPr>
          <w:p w14:paraId="1C79175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型材内胶条漏放，导致大面积渗漏的</w:t>
            </w:r>
          </w:p>
        </w:tc>
        <w:tc>
          <w:tcPr>
            <w:tcW w:w="1376" w:type="dxa"/>
            <w:gridSpan w:val="3"/>
            <w:noWrap w:val="0"/>
            <w:vAlign w:val="center"/>
          </w:tcPr>
          <w:p w14:paraId="79FE8D3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28C606A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5" w:type="dxa"/>
            <w:gridSpan w:val="4"/>
            <w:noWrap w:val="0"/>
            <w:vAlign w:val="center"/>
          </w:tcPr>
          <w:p w14:paraId="70CA167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30E3562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C06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6D6FEDE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SL3203</w:t>
            </w:r>
          </w:p>
        </w:tc>
        <w:tc>
          <w:tcPr>
            <w:tcW w:w="5942" w:type="dxa"/>
            <w:gridSpan w:val="2"/>
            <w:noWrap w:val="0"/>
            <w:vAlign w:val="center"/>
          </w:tcPr>
          <w:p w14:paraId="132A826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门窗框侧边缝隙过大，采用砌体封堵、未采用细石砼进行加固密封</w:t>
            </w:r>
          </w:p>
        </w:tc>
        <w:tc>
          <w:tcPr>
            <w:tcW w:w="1376" w:type="dxa"/>
            <w:gridSpan w:val="3"/>
            <w:noWrap w:val="0"/>
            <w:vAlign w:val="center"/>
          </w:tcPr>
          <w:p w14:paraId="3714CE8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1461D83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5" w:type="dxa"/>
            <w:gridSpan w:val="4"/>
            <w:noWrap w:val="0"/>
            <w:vAlign w:val="center"/>
          </w:tcPr>
          <w:p w14:paraId="225211D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1D7BE0A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32D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175" w:type="dxa"/>
            <w:noWrap w:val="0"/>
            <w:vAlign w:val="center"/>
          </w:tcPr>
          <w:p w14:paraId="258CB23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SL3204</w:t>
            </w:r>
          </w:p>
        </w:tc>
        <w:tc>
          <w:tcPr>
            <w:tcW w:w="5942" w:type="dxa"/>
            <w:gridSpan w:val="2"/>
            <w:noWrap w:val="0"/>
            <w:vAlign w:val="center"/>
          </w:tcPr>
          <w:p w14:paraId="61D2937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外门窗未按照规定进行淋水试验，无淋水记录和照片</w:t>
            </w:r>
          </w:p>
        </w:tc>
        <w:tc>
          <w:tcPr>
            <w:tcW w:w="1376" w:type="dxa"/>
            <w:gridSpan w:val="3"/>
            <w:noWrap w:val="0"/>
            <w:vAlign w:val="center"/>
          </w:tcPr>
          <w:p w14:paraId="14434D3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74BD1E5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5" w:type="dxa"/>
            <w:gridSpan w:val="4"/>
            <w:noWrap w:val="0"/>
            <w:vAlign w:val="center"/>
          </w:tcPr>
          <w:p w14:paraId="4966041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44CA85F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18E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57F4794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SL3205</w:t>
            </w:r>
          </w:p>
        </w:tc>
        <w:tc>
          <w:tcPr>
            <w:tcW w:w="5942" w:type="dxa"/>
            <w:gridSpan w:val="2"/>
            <w:noWrap w:val="0"/>
            <w:vAlign w:val="center"/>
          </w:tcPr>
          <w:p w14:paraId="6B37A34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外门窗存在较多渗漏点或严重渗漏水（雨后、台风、淋水检查等情况）</w:t>
            </w:r>
          </w:p>
        </w:tc>
        <w:tc>
          <w:tcPr>
            <w:tcW w:w="1376" w:type="dxa"/>
            <w:gridSpan w:val="3"/>
            <w:noWrap w:val="0"/>
            <w:vAlign w:val="center"/>
          </w:tcPr>
          <w:p w14:paraId="5CDE3EF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719FE8C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5" w:type="dxa"/>
            <w:gridSpan w:val="4"/>
            <w:noWrap w:val="0"/>
            <w:vAlign w:val="center"/>
          </w:tcPr>
          <w:p w14:paraId="7C98E0E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635" w:type="dxa"/>
            <w:gridSpan w:val="5"/>
            <w:noWrap w:val="0"/>
            <w:vAlign w:val="center"/>
          </w:tcPr>
          <w:p w14:paraId="45BCC7D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C4F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175" w:type="dxa"/>
            <w:noWrap w:val="0"/>
            <w:vAlign w:val="center"/>
          </w:tcPr>
          <w:p w14:paraId="11F328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SL3301</w:t>
            </w:r>
          </w:p>
        </w:tc>
        <w:tc>
          <w:tcPr>
            <w:tcW w:w="5942" w:type="dxa"/>
            <w:gridSpan w:val="2"/>
            <w:noWrap w:val="0"/>
            <w:vAlign w:val="center"/>
          </w:tcPr>
          <w:p w14:paraId="237688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门窗（填缝材料、密封胶等）品牌、规格、型号规范要求；现场使用假次材料</w:t>
            </w:r>
          </w:p>
        </w:tc>
        <w:tc>
          <w:tcPr>
            <w:tcW w:w="1376" w:type="dxa"/>
            <w:gridSpan w:val="3"/>
            <w:noWrap w:val="0"/>
            <w:vAlign w:val="center"/>
          </w:tcPr>
          <w:p w14:paraId="40DC2F4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2F884B2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5" w:type="dxa"/>
            <w:gridSpan w:val="4"/>
            <w:noWrap w:val="0"/>
            <w:vAlign w:val="center"/>
          </w:tcPr>
          <w:p w14:paraId="0A86D57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635" w:type="dxa"/>
            <w:gridSpan w:val="5"/>
            <w:noWrap w:val="0"/>
            <w:vAlign w:val="center"/>
          </w:tcPr>
          <w:p w14:paraId="5FBC7C8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763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175" w:type="dxa"/>
            <w:noWrap w:val="0"/>
            <w:vAlign w:val="center"/>
          </w:tcPr>
          <w:p w14:paraId="6415EA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SL3302</w:t>
            </w:r>
          </w:p>
        </w:tc>
        <w:tc>
          <w:tcPr>
            <w:tcW w:w="5942" w:type="dxa"/>
            <w:gridSpan w:val="2"/>
            <w:noWrap w:val="0"/>
            <w:vAlign w:val="center"/>
          </w:tcPr>
          <w:p w14:paraId="0944F3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密封胶现场未检先用，后检测存在问题的</w:t>
            </w:r>
          </w:p>
        </w:tc>
        <w:tc>
          <w:tcPr>
            <w:tcW w:w="1376" w:type="dxa"/>
            <w:gridSpan w:val="3"/>
            <w:noWrap w:val="0"/>
            <w:vAlign w:val="center"/>
          </w:tcPr>
          <w:p w14:paraId="622F72C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3"/>
            <w:noWrap w:val="0"/>
            <w:vAlign w:val="center"/>
          </w:tcPr>
          <w:p w14:paraId="6F6B58C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5" w:type="dxa"/>
            <w:gridSpan w:val="4"/>
            <w:noWrap w:val="0"/>
            <w:vAlign w:val="center"/>
          </w:tcPr>
          <w:p w14:paraId="42D91DA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635" w:type="dxa"/>
            <w:gridSpan w:val="5"/>
            <w:noWrap w:val="0"/>
            <w:vAlign w:val="center"/>
          </w:tcPr>
          <w:p w14:paraId="43C83DD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8AE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13955" w:type="dxa"/>
            <w:gridSpan w:val="18"/>
            <w:noWrap w:val="0"/>
            <w:vAlign w:val="center"/>
          </w:tcPr>
          <w:p w14:paraId="2D39816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四、厨房、卫生间</w:t>
            </w:r>
          </w:p>
        </w:tc>
      </w:tr>
      <w:tr w14:paraId="7036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vMerge w:val="restart"/>
            <w:noWrap w:val="0"/>
            <w:vAlign w:val="center"/>
          </w:tcPr>
          <w:p w14:paraId="59C31D8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037" w:type="dxa"/>
            <w:gridSpan w:val="3"/>
            <w:vMerge w:val="restart"/>
            <w:noWrap w:val="0"/>
            <w:vAlign w:val="center"/>
          </w:tcPr>
          <w:p w14:paraId="09B3807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239" w:type="dxa"/>
            <w:gridSpan w:val="11"/>
            <w:noWrap w:val="0"/>
            <w:vAlign w:val="center"/>
          </w:tcPr>
          <w:p w14:paraId="0E9B146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12" w:type="dxa"/>
            <w:gridSpan w:val="2"/>
            <w:vMerge w:val="restart"/>
            <w:noWrap w:val="0"/>
            <w:vAlign w:val="center"/>
          </w:tcPr>
          <w:p w14:paraId="0511043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10C9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267" w:type="dxa"/>
            <w:gridSpan w:val="2"/>
            <w:vMerge w:val="continue"/>
            <w:noWrap w:val="0"/>
            <w:vAlign w:val="center"/>
          </w:tcPr>
          <w:p w14:paraId="690B6F64">
            <w:pPr>
              <w:widowControl w:val="0"/>
              <w:kinsoku/>
              <w:adjustRightInd/>
              <w:snapToGrid/>
              <w:spacing w:line="360" w:lineRule="auto"/>
              <w:jc w:val="center"/>
              <w:textAlignment w:val="auto"/>
              <w:rPr>
                <w:rFonts w:ascii="仿宋" w:hAnsi="仿宋" w:eastAsia="仿宋" w:cs="仿宋"/>
                <w:color w:val="auto"/>
                <w:sz w:val="24"/>
                <w:szCs w:val="24"/>
              </w:rPr>
            </w:pPr>
          </w:p>
        </w:tc>
        <w:tc>
          <w:tcPr>
            <w:tcW w:w="6037" w:type="dxa"/>
            <w:gridSpan w:val="3"/>
            <w:vMerge w:val="continue"/>
            <w:noWrap w:val="0"/>
            <w:vAlign w:val="center"/>
          </w:tcPr>
          <w:p w14:paraId="69F0A8C7">
            <w:pPr>
              <w:widowControl w:val="0"/>
              <w:kinsoku/>
              <w:adjustRightInd/>
              <w:snapToGrid/>
              <w:spacing w:line="360" w:lineRule="auto"/>
              <w:jc w:val="center"/>
              <w:textAlignment w:val="auto"/>
              <w:rPr>
                <w:rFonts w:ascii="仿宋" w:hAnsi="仿宋" w:eastAsia="仿宋" w:cs="仿宋"/>
                <w:color w:val="auto"/>
                <w:sz w:val="24"/>
                <w:szCs w:val="24"/>
              </w:rPr>
            </w:pPr>
          </w:p>
        </w:tc>
        <w:tc>
          <w:tcPr>
            <w:tcW w:w="1429" w:type="dxa"/>
            <w:gridSpan w:val="3"/>
            <w:noWrap w:val="0"/>
            <w:vAlign w:val="center"/>
          </w:tcPr>
          <w:p w14:paraId="0A0DFBD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412" w:type="dxa"/>
            <w:gridSpan w:val="4"/>
            <w:noWrap w:val="0"/>
            <w:vAlign w:val="center"/>
          </w:tcPr>
          <w:p w14:paraId="0432EFE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398" w:type="dxa"/>
            <w:gridSpan w:val="4"/>
            <w:noWrap w:val="0"/>
            <w:vAlign w:val="center"/>
          </w:tcPr>
          <w:p w14:paraId="535E5F4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12" w:type="dxa"/>
            <w:gridSpan w:val="2"/>
            <w:vMerge w:val="continue"/>
            <w:noWrap w:val="0"/>
            <w:vAlign w:val="center"/>
          </w:tcPr>
          <w:p w14:paraId="2B03203C">
            <w:pPr>
              <w:widowControl w:val="0"/>
              <w:kinsoku/>
              <w:adjustRightInd/>
              <w:snapToGrid/>
              <w:spacing w:line="360" w:lineRule="auto"/>
              <w:jc w:val="center"/>
              <w:textAlignment w:val="auto"/>
              <w:rPr>
                <w:rFonts w:ascii="仿宋" w:hAnsi="仿宋" w:eastAsia="仿宋" w:cs="仿宋"/>
                <w:color w:val="auto"/>
                <w:sz w:val="24"/>
                <w:szCs w:val="24"/>
              </w:rPr>
            </w:pPr>
          </w:p>
        </w:tc>
      </w:tr>
      <w:tr w14:paraId="4E1A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4CFFECB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SL4101</w:t>
            </w:r>
          </w:p>
        </w:tc>
        <w:tc>
          <w:tcPr>
            <w:tcW w:w="6037" w:type="dxa"/>
            <w:gridSpan w:val="3"/>
            <w:noWrap w:val="0"/>
            <w:vAlign w:val="center"/>
          </w:tcPr>
          <w:p w14:paraId="49AB99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卫生间同层排水降板处回填材料使用多孔材料</w:t>
            </w:r>
          </w:p>
        </w:tc>
        <w:tc>
          <w:tcPr>
            <w:tcW w:w="1429" w:type="dxa"/>
            <w:gridSpan w:val="3"/>
            <w:noWrap w:val="0"/>
            <w:vAlign w:val="center"/>
          </w:tcPr>
          <w:p w14:paraId="4936375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651A386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40BFCC3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954A42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95A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33EB15F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SL4102</w:t>
            </w:r>
          </w:p>
        </w:tc>
        <w:tc>
          <w:tcPr>
            <w:tcW w:w="6037" w:type="dxa"/>
            <w:gridSpan w:val="3"/>
            <w:noWrap w:val="0"/>
            <w:vAlign w:val="center"/>
          </w:tcPr>
          <w:p w14:paraId="01FAEBC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卫生间设计中防水层道数不足</w:t>
            </w:r>
          </w:p>
        </w:tc>
        <w:tc>
          <w:tcPr>
            <w:tcW w:w="1429" w:type="dxa"/>
            <w:gridSpan w:val="3"/>
            <w:noWrap w:val="0"/>
            <w:vAlign w:val="center"/>
          </w:tcPr>
          <w:p w14:paraId="50BBA85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726ECF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2091196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00D0FA5">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249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267" w:type="dxa"/>
            <w:gridSpan w:val="2"/>
            <w:noWrap w:val="0"/>
            <w:vAlign w:val="center"/>
          </w:tcPr>
          <w:p w14:paraId="19334C8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SL4103</w:t>
            </w:r>
          </w:p>
        </w:tc>
        <w:tc>
          <w:tcPr>
            <w:tcW w:w="6037" w:type="dxa"/>
            <w:gridSpan w:val="3"/>
            <w:noWrap w:val="0"/>
            <w:vAlign w:val="center"/>
          </w:tcPr>
          <w:p w14:paraId="40A4C71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卫生间设计中未明确同层排水细部防水节点做法，设计表达不全</w:t>
            </w:r>
          </w:p>
        </w:tc>
        <w:tc>
          <w:tcPr>
            <w:tcW w:w="1429" w:type="dxa"/>
            <w:gridSpan w:val="3"/>
            <w:noWrap w:val="0"/>
            <w:vAlign w:val="center"/>
          </w:tcPr>
          <w:p w14:paraId="7B4F1AE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58F96B4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7DC987A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15FCED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AC4B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17CACB5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SL4104</w:t>
            </w:r>
          </w:p>
        </w:tc>
        <w:tc>
          <w:tcPr>
            <w:tcW w:w="6037" w:type="dxa"/>
            <w:gridSpan w:val="3"/>
            <w:noWrap w:val="0"/>
            <w:vAlign w:val="center"/>
          </w:tcPr>
          <w:p w14:paraId="656E581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厨房、卫生间门口阻止积水外延的技术要求缺失</w:t>
            </w:r>
          </w:p>
        </w:tc>
        <w:tc>
          <w:tcPr>
            <w:tcW w:w="1429" w:type="dxa"/>
            <w:gridSpan w:val="3"/>
            <w:noWrap w:val="0"/>
            <w:vAlign w:val="center"/>
          </w:tcPr>
          <w:p w14:paraId="2F967B0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020CF43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644A55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9E78A9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47B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7CA3E5C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SL4105</w:t>
            </w:r>
          </w:p>
        </w:tc>
        <w:tc>
          <w:tcPr>
            <w:tcW w:w="6037" w:type="dxa"/>
            <w:gridSpan w:val="3"/>
            <w:noWrap w:val="0"/>
            <w:vAlign w:val="center"/>
          </w:tcPr>
          <w:p w14:paraId="638EABD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厨房、卫生间、浴室的楼、地面、墙面未按规定设置防水层、防潮层</w:t>
            </w:r>
          </w:p>
        </w:tc>
        <w:tc>
          <w:tcPr>
            <w:tcW w:w="1429" w:type="dxa"/>
            <w:gridSpan w:val="3"/>
            <w:noWrap w:val="0"/>
            <w:vAlign w:val="center"/>
          </w:tcPr>
          <w:p w14:paraId="184FCE3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2BBCF0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ED56D4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F6E7E4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6CB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69E91A4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SL4106</w:t>
            </w:r>
          </w:p>
        </w:tc>
        <w:tc>
          <w:tcPr>
            <w:tcW w:w="6037" w:type="dxa"/>
            <w:gridSpan w:val="3"/>
            <w:noWrap w:val="0"/>
            <w:vAlign w:val="center"/>
          </w:tcPr>
          <w:p w14:paraId="3680CD8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卫生间使用叠合板</w:t>
            </w:r>
          </w:p>
        </w:tc>
        <w:tc>
          <w:tcPr>
            <w:tcW w:w="1429" w:type="dxa"/>
            <w:gridSpan w:val="3"/>
            <w:noWrap w:val="0"/>
            <w:vAlign w:val="center"/>
          </w:tcPr>
          <w:p w14:paraId="4A15042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35EF5B7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15BB1C4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883189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5B9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0A4F287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SL4107</w:t>
            </w:r>
          </w:p>
        </w:tc>
        <w:tc>
          <w:tcPr>
            <w:tcW w:w="6037" w:type="dxa"/>
            <w:gridSpan w:val="3"/>
            <w:noWrap w:val="0"/>
            <w:vAlign w:val="center"/>
          </w:tcPr>
          <w:p w14:paraId="41822DB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地面未设排水坡度</w:t>
            </w:r>
          </w:p>
        </w:tc>
        <w:tc>
          <w:tcPr>
            <w:tcW w:w="1429" w:type="dxa"/>
            <w:gridSpan w:val="3"/>
            <w:noWrap w:val="0"/>
            <w:vAlign w:val="center"/>
          </w:tcPr>
          <w:p w14:paraId="6BBCED1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5EECA26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5408437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EEA724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B62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6D05EF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SL4201</w:t>
            </w:r>
          </w:p>
        </w:tc>
        <w:tc>
          <w:tcPr>
            <w:tcW w:w="6037" w:type="dxa"/>
            <w:gridSpan w:val="3"/>
            <w:noWrap w:val="0"/>
            <w:vAlign w:val="center"/>
          </w:tcPr>
          <w:p w14:paraId="79056C0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卫生间未按图纸要求进行降板施工的</w:t>
            </w:r>
          </w:p>
        </w:tc>
        <w:tc>
          <w:tcPr>
            <w:tcW w:w="1429" w:type="dxa"/>
            <w:gridSpan w:val="3"/>
            <w:noWrap w:val="0"/>
            <w:vAlign w:val="center"/>
          </w:tcPr>
          <w:p w14:paraId="61CD0AA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548CB77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322DA6F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FFAFE8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FA2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267" w:type="dxa"/>
            <w:gridSpan w:val="2"/>
            <w:noWrap w:val="0"/>
            <w:vAlign w:val="center"/>
          </w:tcPr>
          <w:p w14:paraId="72C8A06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SL4202</w:t>
            </w:r>
          </w:p>
        </w:tc>
        <w:tc>
          <w:tcPr>
            <w:tcW w:w="6037" w:type="dxa"/>
            <w:gridSpan w:val="3"/>
            <w:noWrap w:val="0"/>
            <w:vAlign w:val="center"/>
          </w:tcPr>
          <w:p w14:paraId="09F05F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厨房、卫生间防水施工未按设计要求施工（如：防水层遗漏、防水层出现大面积破损、墙面、地面防水涂膜多处缺漏、厚度严重不足、防水层高度不足、漏底等）</w:t>
            </w:r>
          </w:p>
        </w:tc>
        <w:tc>
          <w:tcPr>
            <w:tcW w:w="1429" w:type="dxa"/>
            <w:gridSpan w:val="3"/>
            <w:noWrap w:val="0"/>
            <w:vAlign w:val="center"/>
          </w:tcPr>
          <w:p w14:paraId="4C297C5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14598E3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387E1AE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D44E34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A09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331E974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SL4203</w:t>
            </w:r>
          </w:p>
        </w:tc>
        <w:tc>
          <w:tcPr>
            <w:tcW w:w="6037" w:type="dxa"/>
            <w:gridSpan w:val="3"/>
            <w:noWrap w:val="0"/>
            <w:vAlign w:val="center"/>
          </w:tcPr>
          <w:p w14:paraId="35889B1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厨房、卫生间基层清理大面积不到位；管道洞口吊模大面积质量不佳，吊模砼浇筑不密实</w:t>
            </w:r>
          </w:p>
        </w:tc>
        <w:tc>
          <w:tcPr>
            <w:tcW w:w="1429" w:type="dxa"/>
            <w:gridSpan w:val="3"/>
            <w:noWrap w:val="0"/>
            <w:vAlign w:val="center"/>
          </w:tcPr>
          <w:p w14:paraId="1C5EA3A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42C6FCC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4F7FD76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A0772E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0769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5DB1BFC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SL4204</w:t>
            </w:r>
          </w:p>
        </w:tc>
        <w:tc>
          <w:tcPr>
            <w:tcW w:w="6037" w:type="dxa"/>
            <w:gridSpan w:val="3"/>
            <w:noWrap w:val="0"/>
            <w:vAlign w:val="center"/>
          </w:tcPr>
          <w:p w14:paraId="632F57E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厨房、卫生间穿楼层预留洞位置错误、随意开孔，管道孔洞未进行分层封堵，存在严重渗漏风险</w:t>
            </w:r>
          </w:p>
        </w:tc>
        <w:tc>
          <w:tcPr>
            <w:tcW w:w="1429" w:type="dxa"/>
            <w:gridSpan w:val="3"/>
            <w:noWrap w:val="0"/>
            <w:vAlign w:val="center"/>
          </w:tcPr>
          <w:p w14:paraId="7A720D6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1B1985A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486476C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6A2E52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8E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267" w:type="dxa"/>
            <w:gridSpan w:val="2"/>
            <w:noWrap w:val="0"/>
            <w:vAlign w:val="center"/>
          </w:tcPr>
          <w:p w14:paraId="207AA1E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SL4205</w:t>
            </w:r>
          </w:p>
        </w:tc>
        <w:tc>
          <w:tcPr>
            <w:tcW w:w="6037" w:type="dxa"/>
            <w:gridSpan w:val="3"/>
            <w:noWrap w:val="0"/>
            <w:vAlign w:val="center"/>
          </w:tcPr>
          <w:p w14:paraId="687C2AF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厨房、卫生间混凝土导墙施工出现裂缝，有严重渗漏隐患</w:t>
            </w:r>
          </w:p>
        </w:tc>
        <w:tc>
          <w:tcPr>
            <w:tcW w:w="1429" w:type="dxa"/>
            <w:gridSpan w:val="3"/>
            <w:noWrap w:val="0"/>
            <w:vAlign w:val="center"/>
          </w:tcPr>
          <w:p w14:paraId="60AC155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74A9558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668203F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CD3932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1FB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0345EBF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SL4206</w:t>
            </w:r>
          </w:p>
        </w:tc>
        <w:tc>
          <w:tcPr>
            <w:tcW w:w="6037" w:type="dxa"/>
            <w:gridSpan w:val="3"/>
            <w:noWrap w:val="0"/>
            <w:vAlign w:val="center"/>
          </w:tcPr>
          <w:p w14:paraId="314E78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卫生间保温层未与其他区域断开</w:t>
            </w:r>
          </w:p>
        </w:tc>
        <w:tc>
          <w:tcPr>
            <w:tcW w:w="1429" w:type="dxa"/>
            <w:gridSpan w:val="3"/>
            <w:noWrap w:val="0"/>
            <w:vAlign w:val="center"/>
          </w:tcPr>
          <w:p w14:paraId="39FDC02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28F5FEA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1C75C4B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D62B46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383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1C178DD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SL4207</w:t>
            </w:r>
          </w:p>
        </w:tc>
        <w:tc>
          <w:tcPr>
            <w:tcW w:w="6037" w:type="dxa"/>
            <w:gridSpan w:val="3"/>
            <w:noWrap w:val="0"/>
            <w:vAlign w:val="center"/>
          </w:tcPr>
          <w:p w14:paraId="7C50ED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厨房、卫生间墙面、地面多处裂缝渗漏</w:t>
            </w:r>
          </w:p>
        </w:tc>
        <w:tc>
          <w:tcPr>
            <w:tcW w:w="1429" w:type="dxa"/>
            <w:gridSpan w:val="3"/>
            <w:noWrap w:val="0"/>
            <w:vAlign w:val="center"/>
          </w:tcPr>
          <w:p w14:paraId="7E40FFB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22E0EB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46CFF51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893239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3B2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267" w:type="dxa"/>
            <w:gridSpan w:val="2"/>
            <w:noWrap w:val="0"/>
            <w:vAlign w:val="center"/>
          </w:tcPr>
          <w:p w14:paraId="19F4C6A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SL4208</w:t>
            </w:r>
          </w:p>
        </w:tc>
        <w:tc>
          <w:tcPr>
            <w:tcW w:w="6037" w:type="dxa"/>
            <w:gridSpan w:val="3"/>
            <w:noWrap w:val="0"/>
            <w:vAlign w:val="center"/>
          </w:tcPr>
          <w:p w14:paraId="644FC56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卫生间未按照规定进行闭水试验，无闭水记录和照片</w:t>
            </w:r>
          </w:p>
        </w:tc>
        <w:tc>
          <w:tcPr>
            <w:tcW w:w="1429" w:type="dxa"/>
            <w:gridSpan w:val="3"/>
            <w:noWrap w:val="0"/>
            <w:vAlign w:val="center"/>
          </w:tcPr>
          <w:p w14:paraId="61CC03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61C29D8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679BBD7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296363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024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74A2B4D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SL4301</w:t>
            </w:r>
          </w:p>
        </w:tc>
        <w:tc>
          <w:tcPr>
            <w:tcW w:w="6037" w:type="dxa"/>
            <w:gridSpan w:val="3"/>
            <w:noWrap w:val="0"/>
            <w:vAlign w:val="center"/>
          </w:tcPr>
          <w:p w14:paraId="75BA15E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材料品牌、规格、型号不符合设计、合同要求，质量标准未达到设计和施工验收规范标准要求；现场使用假次材料</w:t>
            </w:r>
          </w:p>
        </w:tc>
        <w:tc>
          <w:tcPr>
            <w:tcW w:w="1429" w:type="dxa"/>
            <w:gridSpan w:val="3"/>
            <w:noWrap w:val="0"/>
            <w:vAlign w:val="center"/>
          </w:tcPr>
          <w:p w14:paraId="481D5A1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1147173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1C4DBEC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29592D0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FAF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4F97430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SL4302</w:t>
            </w:r>
          </w:p>
        </w:tc>
        <w:tc>
          <w:tcPr>
            <w:tcW w:w="6037" w:type="dxa"/>
            <w:gridSpan w:val="3"/>
            <w:noWrap w:val="0"/>
            <w:vAlign w:val="center"/>
          </w:tcPr>
          <w:p w14:paraId="7C8D08A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项目现场使用淘汰或禁用防水涂料的</w:t>
            </w:r>
          </w:p>
        </w:tc>
        <w:tc>
          <w:tcPr>
            <w:tcW w:w="1429" w:type="dxa"/>
            <w:gridSpan w:val="3"/>
            <w:noWrap w:val="0"/>
            <w:vAlign w:val="center"/>
          </w:tcPr>
          <w:p w14:paraId="5B3E19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41040E0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BD43FB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20814B5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F71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14E9923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SL4303</w:t>
            </w:r>
          </w:p>
        </w:tc>
        <w:tc>
          <w:tcPr>
            <w:tcW w:w="6037" w:type="dxa"/>
            <w:gridSpan w:val="3"/>
            <w:noWrap w:val="0"/>
            <w:vAlign w:val="center"/>
          </w:tcPr>
          <w:p w14:paraId="4597B27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材料过期现场未审核发现</w:t>
            </w:r>
          </w:p>
        </w:tc>
        <w:tc>
          <w:tcPr>
            <w:tcW w:w="1429" w:type="dxa"/>
            <w:gridSpan w:val="3"/>
            <w:noWrap w:val="0"/>
            <w:vAlign w:val="center"/>
          </w:tcPr>
          <w:p w14:paraId="1A45FE0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785B7ED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1E94C86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4B08C68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B24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6F89428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SL4304</w:t>
            </w:r>
          </w:p>
        </w:tc>
        <w:tc>
          <w:tcPr>
            <w:tcW w:w="6037" w:type="dxa"/>
            <w:gridSpan w:val="3"/>
            <w:noWrap w:val="0"/>
            <w:vAlign w:val="center"/>
          </w:tcPr>
          <w:p w14:paraId="3E3CA8E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防水材料现场未检先用，后检测存在问题的</w:t>
            </w:r>
          </w:p>
        </w:tc>
        <w:tc>
          <w:tcPr>
            <w:tcW w:w="1429" w:type="dxa"/>
            <w:gridSpan w:val="3"/>
            <w:noWrap w:val="0"/>
            <w:vAlign w:val="center"/>
          </w:tcPr>
          <w:p w14:paraId="414CA91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7018456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2CCAE0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2"/>
            <w:noWrap w:val="0"/>
            <w:vAlign w:val="center"/>
          </w:tcPr>
          <w:p w14:paraId="55E47BEF">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2B8E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3955" w:type="dxa"/>
            <w:gridSpan w:val="18"/>
            <w:noWrap w:val="0"/>
            <w:vAlign w:val="center"/>
          </w:tcPr>
          <w:p w14:paraId="1EA3B32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五、屋面</w:t>
            </w:r>
          </w:p>
        </w:tc>
      </w:tr>
      <w:tr w14:paraId="785B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vMerge w:val="restart"/>
            <w:noWrap w:val="0"/>
            <w:vAlign w:val="center"/>
          </w:tcPr>
          <w:p w14:paraId="65B4E5B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037" w:type="dxa"/>
            <w:gridSpan w:val="3"/>
            <w:vMerge w:val="restart"/>
            <w:noWrap w:val="0"/>
            <w:vAlign w:val="center"/>
          </w:tcPr>
          <w:p w14:paraId="7C47B7C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239" w:type="dxa"/>
            <w:gridSpan w:val="11"/>
            <w:noWrap w:val="0"/>
            <w:vAlign w:val="center"/>
          </w:tcPr>
          <w:p w14:paraId="722420F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12" w:type="dxa"/>
            <w:gridSpan w:val="2"/>
            <w:vMerge w:val="restart"/>
            <w:noWrap w:val="0"/>
            <w:vAlign w:val="center"/>
          </w:tcPr>
          <w:p w14:paraId="52401C4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2EC1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vMerge w:val="continue"/>
            <w:noWrap w:val="0"/>
            <w:vAlign w:val="center"/>
          </w:tcPr>
          <w:p w14:paraId="27B8A1A9">
            <w:pPr>
              <w:widowControl w:val="0"/>
              <w:kinsoku/>
              <w:adjustRightInd/>
              <w:snapToGrid/>
              <w:spacing w:line="360" w:lineRule="auto"/>
              <w:jc w:val="center"/>
              <w:textAlignment w:val="auto"/>
              <w:rPr>
                <w:rFonts w:ascii="仿宋" w:hAnsi="仿宋" w:eastAsia="仿宋" w:cs="仿宋"/>
                <w:color w:val="auto"/>
                <w:sz w:val="24"/>
                <w:szCs w:val="24"/>
              </w:rPr>
            </w:pPr>
          </w:p>
        </w:tc>
        <w:tc>
          <w:tcPr>
            <w:tcW w:w="6037" w:type="dxa"/>
            <w:gridSpan w:val="3"/>
            <w:vMerge w:val="continue"/>
            <w:noWrap w:val="0"/>
            <w:vAlign w:val="center"/>
          </w:tcPr>
          <w:p w14:paraId="28A6D71E">
            <w:pPr>
              <w:widowControl w:val="0"/>
              <w:kinsoku/>
              <w:adjustRightInd/>
              <w:snapToGrid/>
              <w:spacing w:line="360" w:lineRule="auto"/>
              <w:jc w:val="center"/>
              <w:textAlignment w:val="auto"/>
              <w:rPr>
                <w:rFonts w:ascii="仿宋" w:hAnsi="仿宋" w:eastAsia="仿宋" w:cs="仿宋"/>
                <w:color w:val="auto"/>
                <w:sz w:val="24"/>
                <w:szCs w:val="24"/>
              </w:rPr>
            </w:pPr>
          </w:p>
        </w:tc>
        <w:tc>
          <w:tcPr>
            <w:tcW w:w="1429" w:type="dxa"/>
            <w:gridSpan w:val="3"/>
            <w:noWrap w:val="0"/>
            <w:vAlign w:val="center"/>
          </w:tcPr>
          <w:p w14:paraId="7FBD582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412" w:type="dxa"/>
            <w:gridSpan w:val="4"/>
            <w:noWrap w:val="0"/>
            <w:vAlign w:val="center"/>
          </w:tcPr>
          <w:p w14:paraId="568FF0E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398" w:type="dxa"/>
            <w:gridSpan w:val="4"/>
            <w:noWrap w:val="0"/>
            <w:vAlign w:val="center"/>
          </w:tcPr>
          <w:p w14:paraId="2EEC7AC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12" w:type="dxa"/>
            <w:gridSpan w:val="2"/>
            <w:vMerge w:val="continue"/>
            <w:noWrap w:val="0"/>
            <w:vAlign w:val="center"/>
          </w:tcPr>
          <w:p w14:paraId="45FFDAB3">
            <w:pPr>
              <w:widowControl w:val="0"/>
              <w:kinsoku/>
              <w:adjustRightInd/>
              <w:snapToGrid/>
              <w:spacing w:line="360" w:lineRule="auto"/>
              <w:jc w:val="center"/>
              <w:textAlignment w:val="auto"/>
              <w:rPr>
                <w:rFonts w:ascii="仿宋" w:hAnsi="仿宋" w:eastAsia="仿宋" w:cs="仿宋"/>
                <w:color w:val="auto"/>
                <w:sz w:val="24"/>
                <w:szCs w:val="24"/>
              </w:rPr>
            </w:pPr>
          </w:p>
        </w:tc>
      </w:tr>
      <w:tr w14:paraId="0DD6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8D71F9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SL5101</w:t>
            </w:r>
          </w:p>
        </w:tc>
        <w:tc>
          <w:tcPr>
            <w:tcW w:w="6037" w:type="dxa"/>
            <w:gridSpan w:val="3"/>
            <w:noWrap w:val="0"/>
            <w:vAlign w:val="center"/>
          </w:tcPr>
          <w:p w14:paraId="27A5528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出屋面出入口未设置防止雨水倒灌措施</w:t>
            </w:r>
          </w:p>
        </w:tc>
        <w:tc>
          <w:tcPr>
            <w:tcW w:w="1429" w:type="dxa"/>
            <w:gridSpan w:val="3"/>
            <w:noWrap w:val="0"/>
            <w:vAlign w:val="center"/>
          </w:tcPr>
          <w:p w14:paraId="2FE858D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2A33119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6A3163C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C841DE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E81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2267" w:type="dxa"/>
            <w:gridSpan w:val="2"/>
            <w:noWrap w:val="0"/>
            <w:vAlign w:val="center"/>
          </w:tcPr>
          <w:p w14:paraId="6C3B9E1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SL5102</w:t>
            </w:r>
          </w:p>
        </w:tc>
        <w:tc>
          <w:tcPr>
            <w:tcW w:w="6037" w:type="dxa"/>
            <w:gridSpan w:val="3"/>
            <w:noWrap w:val="0"/>
            <w:vAlign w:val="center"/>
          </w:tcPr>
          <w:p w14:paraId="3111358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出屋面的各种管井洞口距屋面完成面高度不足250mm</w:t>
            </w:r>
          </w:p>
        </w:tc>
        <w:tc>
          <w:tcPr>
            <w:tcW w:w="1429" w:type="dxa"/>
            <w:gridSpan w:val="3"/>
            <w:noWrap w:val="0"/>
            <w:vAlign w:val="center"/>
          </w:tcPr>
          <w:p w14:paraId="6A7FA54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BC5299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1CAA583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672D0C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4136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4938707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SL5103</w:t>
            </w:r>
          </w:p>
        </w:tc>
        <w:tc>
          <w:tcPr>
            <w:tcW w:w="6037" w:type="dxa"/>
            <w:gridSpan w:val="3"/>
            <w:noWrap w:val="0"/>
            <w:vAlign w:val="center"/>
          </w:tcPr>
          <w:p w14:paraId="11FA167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防水等级降低、防水道数不足</w:t>
            </w:r>
          </w:p>
        </w:tc>
        <w:tc>
          <w:tcPr>
            <w:tcW w:w="1429" w:type="dxa"/>
            <w:gridSpan w:val="3"/>
            <w:noWrap w:val="0"/>
            <w:vAlign w:val="center"/>
          </w:tcPr>
          <w:p w14:paraId="25C23D6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65C75A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6321263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0E566C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709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03A5528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SL5104</w:t>
            </w:r>
          </w:p>
        </w:tc>
        <w:tc>
          <w:tcPr>
            <w:tcW w:w="6037" w:type="dxa"/>
            <w:gridSpan w:val="3"/>
            <w:noWrap w:val="0"/>
            <w:vAlign w:val="center"/>
          </w:tcPr>
          <w:p w14:paraId="090C341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未明确防水设计要求、做法</w:t>
            </w:r>
          </w:p>
        </w:tc>
        <w:tc>
          <w:tcPr>
            <w:tcW w:w="1429" w:type="dxa"/>
            <w:gridSpan w:val="3"/>
            <w:noWrap w:val="0"/>
            <w:vAlign w:val="center"/>
          </w:tcPr>
          <w:p w14:paraId="229AD89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5FE057F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267B8F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E00EE4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E9C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1B3F28F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SL5105</w:t>
            </w:r>
          </w:p>
        </w:tc>
        <w:tc>
          <w:tcPr>
            <w:tcW w:w="6037" w:type="dxa"/>
            <w:gridSpan w:val="3"/>
            <w:noWrap w:val="0"/>
            <w:vAlign w:val="center"/>
          </w:tcPr>
          <w:p w14:paraId="5859AB3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细部防水节点做法，设计表达不全</w:t>
            </w:r>
          </w:p>
        </w:tc>
        <w:tc>
          <w:tcPr>
            <w:tcW w:w="1429" w:type="dxa"/>
            <w:gridSpan w:val="3"/>
            <w:noWrap w:val="0"/>
            <w:vAlign w:val="center"/>
          </w:tcPr>
          <w:p w14:paraId="7B97C07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0C322E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274ED8F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22A643C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723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2A09AFA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SL5106</w:t>
            </w:r>
          </w:p>
        </w:tc>
        <w:tc>
          <w:tcPr>
            <w:tcW w:w="6037" w:type="dxa"/>
            <w:gridSpan w:val="3"/>
            <w:noWrap w:val="0"/>
            <w:vAlign w:val="center"/>
          </w:tcPr>
          <w:p w14:paraId="7CE18FF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屋面排水找坡设计错误</w:t>
            </w:r>
          </w:p>
        </w:tc>
        <w:tc>
          <w:tcPr>
            <w:tcW w:w="1429" w:type="dxa"/>
            <w:gridSpan w:val="3"/>
            <w:noWrap w:val="0"/>
            <w:vAlign w:val="center"/>
          </w:tcPr>
          <w:p w14:paraId="1BC31C8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417D0D3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7A86CD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844D1D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16B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124D8CF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SL5107</w:t>
            </w:r>
          </w:p>
        </w:tc>
        <w:tc>
          <w:tcPr>
            <w:tcW w:w="6037" w:type="dxa"/>
            <w:gridSpan w:val="3"/>
            <w:noWrap w:val="0"/>
            <w:vAlign w:val="center"/>
          </w:tcPr>
          <w:p w14:paraId="71A7A43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屋面落水管、变形缝、出屋面管道、屋面出入口屋面设施基础等缺细部设计</w:t>
            </w:r>
          </w:p>
        </w:tc>
        <w:tc>
          <w:tcPr>
            <w:tcW w:w="1429" w:type="dxa"/>
            <w:gridSpan w:val="3"/>
            <w:noWrap w:val="0"/>
            <w:vAlign w:val="center"/>
          </w:tcPr>
          <w:p w14:paraId="79B3797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73F04D1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396603E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F616E8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615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65BBD33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SL5108</w:t>
            </w:r>
          </w:p>
        </w:tc>
        <w:tc>
          <w:tcPr>
            <w:tcW w:w="6037" w:type="dxa"/>
            <w:gridSpan w:val="3"/>
            <w:noWrap w:val="0"/>
            <w:vAlign w:val="center"/>
          </w:tcPr>
          <w:p w14:paraId="466DD29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女儿墙压顶未设置≥5%的向内坡度</w:t>
            </w:r>
          </w:p>
        </w:tc>
        <w:tc>
          <w:tcPr>
            <w:tcW w:w="1429" w:type="dxa"/>
            <w:gridSpan w:val="3"/>
            <w:noWrap w:val="0"/>
            <w:vAlign w:val="center"/>
          </w:tcPr>
          <w:p w14:paraId="2C16E6D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071C759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4847FB1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278FA1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796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2F390FC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SL5109</w:t>
            </w:r>
          </w:p>
        </w:tc>
        <w:tc>
          <w:tcPr>
            <w:tcW w:w="6037" w:type="dxa"/>
            <w:gridSpan w:val="3"/>
            <w:noWrap w:val="0"/>
            <w:vAlign w:val="center"/>
          </w:tcPr>
          <w:p w14:paraId="31A7492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上翻梁、设备基础等影响排水的各类屋顶构件未设置过水孔或者其他排水措施</w:t>
            </w:r>
          </w:p>
        </w:tc>
        <w:tc>
          <w:tcPr>
            <w:tcW w:w="1429" w:type="dxa"/>
            <w:gridSpan w:val="3"/>
            <w:noWrap w:val="0"/>
            <w:vAlign w:val="center"/>
          </w:tcPr>
          <w:p w14:paraId="497C636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3A00D5D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5CC9C2F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43E3A25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598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1FE168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SL5110</w:t>
            </w:r>
          </w:p>
        </w:tc>
        <w:tc>
          <w:tcPr>
            <w:tcW w:w="6037" w:type="dxa"/>
            <w:gridSpan w:val="3"/>
            <w:noWrap w:val="0"/>
            <w:vAlign w:val="center"/>
          </w:tcPr>
          <w:p w14:paraId="73A7F6C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用水泥砂浆找平层兼做找坡层</w:t>
            </w:r>
          </w:p>
        </w:tc>
        <w:tc>
          <w:tcPr>
            <w:tcW w:w="1429" w:type="dxa"/>
            <w:gridSpan w:val="3"/>
            <w:noWrap w:val="0"/>
            <w:vAlign w:val="center"/>
          </w:tcPr>
          <w:p w14:paraId="5EC675D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210319E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61A2CF5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7A4D41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296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0D2424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SL5111</w:t>
            </w:r>
          </w:p>
        </w:tc>
        <w:tc>
          <w:tcPr>
            <w:tcW w:w="6037" w:type="dxa"/>
            <w:gridSpan w:val="3"/>
            <w:noWrap w:val="0"/>
            <w:vAlign w:val="center"/>
          </w:tcPr>
          <w:p w14:paraId="31FBDA9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屋面分隔缝、排汽道设计不规范</w:t>
            </w:r>
          </w:p>
        </w:tc>
        <w:tc>
          <w:tcPr>
            <w:tcW w:w="1429" w:type="dxa"/>
            <w:gridSpan w:val="3"/>
            <w:noWrap w:val="0"/>
            <w:vAlign w:val="center"/>
          </w:tcPr>
          <w:p w14:paraId="577D16D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2" w:type="dxa"/>
            <w:gridSpan w:val="4"/>
            <w:noWrap w:val="0"/>
            <w:vAlign w:val="center"/>
          </w:tcPr>
          <w:p w14:paraId="10B6F2B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98" w:type="dxa"/>
            <w:gridSpan w:val="4"/>
            <w:noWrap w:val="0"/>
            <w:vAlign w:val="center"/>
          </w:tcPr>
          <w:p w14:paraId="203D4B6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75E886D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C1A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5AD5BE2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SL5201</w:t>
            </w:r>
          </w:p>
        </w:tc>
        <w:tc>
          <w:tcPr>
            <w:tcW w:w="6037" w:type="dxa"/>
            <w:gridSpan w:val="3"/>
            <w:noWrap w:val="0"/>
            <w:vAlign w:val="center"/>
          </w:tcPr>
          <w:p w14:paraId="5E1242C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涂料防水层厚度严重不足、防水卷材铺贴多处存在基层清理不到位、错缝、开裂、空鼓、气泡、接缝不密实、搭接不符合等</w:t>
            </w:r>
          </w:p>
        </w:tc>
        <w:tc>
          <w:tcPr>
            <w:tcW w:w="1429" w:type="dxa"/>
            <w:gridSpan w:val="3"/>
            <w:noWrap w:val="0"/>
            <w:vAlign w:val="center"/>
          </w:tcPr>
          <w:p w14:paraId="3DB2B83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507F675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0125199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132C2C7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902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5435AF6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SL5202</w:t>
            </w:r>
          </w:p>
        </w:tc>
        <w:tc>
          <w:tcPr>
            <w:tcW w:w="6037" w:type="dxa"/>
            <w:gridSpan w:val="3"/>
            <w:noWrap w:val="0"/>
            <w:vAlign w:val="center"/>
          </w:tcPr>
          <w:p w14:paraId="4DFA073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防水卷材铺贴方向多处未按要求施工</w:t>
            </w:r>
          </w:p>
        </w:tc>
        <w:tc>
          <w:tcPr>
            <w:tcW w:w="1429" w:type="dxa"/>
            <w:gridSpan w:val="3"/>
            <w:noWrap w:val="0"/>
            <w:vAlign w:val="center"/>
          </w:tcPr>
          <w:p w14:paraId="3D7D729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5839126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058EB19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1F6E142">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B5E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0025FB1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SL5203</w:t>
            </w:r>
          </w:p>
        </w:tc>
        <w:tc>
          <w:tcPr>
            <w:tcW w:w="6037" w:type="dxa"/>
            <w:gridSpan w:val="3"/>
            <w:noWrap w:val="0"/>
            <w:vAlign w:val="center"/>
          </w:tcPr>
          <w:p w14:paraId="4B69570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转角、落水口、出水口、出屋面管道根部、过水孔等细部节点位置的涂膜和卷材附加层多处未按设计要求进行施工的</w:t>
            </w:r>
          </w:p>
        </w:tc>
        <w:tc>
          <w:tcPr>
            <w:tcW w:w="1429" w:type="dxa"/>
            <w:gridSpan w:val="3"/>
            <w:noWrap w:val="0"/>
            <w:vAlign w:val="center"/>
          </w:tcPr>
          <w:p w14:paraId="204A932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0A30F56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2615141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671CD9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F4C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267" w:type="dxa"/>
            <w:gridSpan w:val="2"/>
            <w:noWrap w:val="0"/>
            <w:vAlign w:val="center"/>
          </w:tcPr>
          <w:p w14:paraId="00507B5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SL5204</w:t>
            </w:r>
          </w:p>
        </w:tc>
        <w:tc>
          <w:tcPr>
            <w:tcW w:w="6037" w:type="dxa"/>
            <w:gridSpan w:val="3"/>
            <w:noWrap w:val="0"/>
            <w:vAlign w:val="center"/>
          </w:tcPr>
          <w:p w14:paraId="7ACC01A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屋面墙体以及女儿墙上泛水部位的防水卷材，大面积上翻高度不足，有空鼓、皱褶、粘贴不牢固现象，上部收口大面积未钉压固定，无密封胶封口密实</w:t>
            </w:r>
          </w:p>
        </w:tc>
        <w:tc>
          <w:tcPr>
            <w:tcW w:w="1429" w:type="dxa"/>
            <w:gridSpan w:val="3"/>
            <w:noWrap w:val="0"/>
            <w:vAlign w:val="center"/>
          </w:tcPr>
          <w:p w14:paraId="517963C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0EC3B75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3A87353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351B9AD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407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1851B16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SL5205</w:t>
            </w:r>
          </w:p>
        </w:tc>
        <w:tc>
          <w:tcPr>
            <w:tcW w:w="6037" w:type="dxa"/>
            <w:gridSpan w:val="3"/>
            <w:noWrap w:val="0"/>
            <w:vAlign w:val="center"/>
          </w:tcPr>
          <w:p w14:paraId="2FF510A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出屋面管道封堵质量差，未分层封堵，出现较多渗漏点，或多处严重渗漏</w:t>
            </w:r>
          </w:p>
        </w:tc>
        <w:tc>
          <w:tcPr>
            <w:tcW w:w="1429" w:type="dxa"/>
            <w:gridSpan w:val="3"/>
            <w:noWrap w:val="0"/>
            <w:vAlign w:val="center"/>
          </w:tcPr>
          <w:p w14:paraId="7C91A2B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460449F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5C1D85A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60FC9A8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3A4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5CE80D6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SL5206</w:t>
            </w:r>
          </w:p>
        </w:tc>
        <w:tc>
          <w:tcPr>
            <w:tcW w:w="6037" w:type="dxa"/>
            <w:gridSpan w:val="3"/>
            <w:noWrap w:val="0"/>
            <w:vAlign w:val="center"/>
          </w:tcPr>
          <w:p w14:paraId="6D87036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屋面砼浇筑后有较多结构裂缝</w:t>
            </w:r>
          </w:p>
        </w:tc>
        <w:tc>
          <w:tcPr>
            <w:tcW w:w="1429" w:type="dxa"/>
            <w:gridSpan w:val="3"/>
            <w:noWrap w:val="0"/>
            <w:vAlign w:val="center"/>
          </w:tcPr>
          <w:p w14:paraId="16FE4B3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6CED94C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73386C9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78D9F3B">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4EA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267" w:type="dxa"/>
            <w:gridSpan w:val="2"/>
            <w:noWrap w:val="0"/>
            <w:vAlign w:val="center"/>
          </w:tcPr>
          <w:p w14:paraId="1020AA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SL5207</w:t>
            </w:r>
          </w:p>
        </w:tc>
        <w:tc>
          <w:tcPr>
            <w:tcW w:w="6037" w:type="dxa"/>
            <w:gridSpan w:val="3"/>
            <w:noWrap w:val="0"/>
            <w:vAlign w:val="center"/>
          </w:tcPr>
          <w:p w14:paraId="7EB53E9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屋面出现多处渗漏；或蓄水试验及雨后，有较多屋面渗漏点</w:t>
            </w:r>
          </w:p>
        </w:tc>
        <w:tc>
          <w:tcPr>
            <w:tcW w:w="1429" w:type="dxa"/>
            <w:gridSpan w:val="3"/>
            <w:noWrap w:val="0"/>
            <w:vAlign w:val="center"/>
          </w:tcPr>
          <w:p w14:paraId="7236E93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39DD153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6631D30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5AD6F01C">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8C8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A3217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SL5208</w:t>
            </w:r>
          </w:p>
        </w:tc>
        <w:tc>
          <w:tcPr>
            <w:tcW w:w="6037" w:type="dxa"/>
            <w:gridSpan w:val="3"/>
            <w:noWrap w:val="0"/>
            <w:vAlign w:val="center"/>
          </w:tcPr>
          <w:p w14:paraId="578B383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未按照规定进行蓄水试验，无蓄水记录和照片</w:t>
            </w:r>
          </w:p>
        </w:tc>
        <w:tc>
          <w:tcPr>
            <w:tcW w:w="1429" w:type="dxa"/>
            <w:gridSpan w:val="3"/>
            <w:noWrap w:val="0"/>
            <w:vAlign w:val="center"/>
          </w:tcPr>
          <w:p w14:paraId="4FCCFC0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4"/>
            <w:noWrap w:val="0"/>
            <w:vAlign w:val="center"/>
          </w:tcPr>
          <w:p w14:paraId="0A307F2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98" w:type="dxa"/>
            <w:gridSpan w:val="4"/>
            <w:noWrap w:val="0"/>
            <w:vAlign w:val="center"/>
          </w:tcPr>
          <w:p w14:paraId="639DBA1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2" w:type="dxa"/>
            <w:gridSpan w:val="2"/>
            <w:noWrap w:val="0"/>
            <w:vAlign w:val="center"/>
          </w:tcPr>
          <w:p w14:paraId="014FCB7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C2E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trPr>
        <w:tc>
          <w:tcPr>
            <w:tcW w:w="2267" w:type="dxa"/>
            <w:gridSpan w:val="2"/>
            <w:noWrap w:val="0"/>
            <w:vAlign w:val="center"/>
          </w:tcPr>
          <w:p w14:paraId="719628A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SL5301</w:t>
            </w:r>
          </w:p>
        </w:tc>
        <w:tc>
          <w:tcPr>
            <w:tcW w:w="6037" w:type="dxa"/>
            <w:gridSpan w:val="3"/>
            <w:noWrap w:val="0"/>
            <w:vAlign w:val="center"/>
          </w:tcPr>
          <w:p w14:paraId="68E4C5D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防水材料选型、选择不当，与图纸要求不符；或者属于《浙江省建设领域“十四五”推广应用和限制、禁止使用技术公告（第一批）》中的防水卷材</w:t>
            </w:r>
          </w:p>
        </w:tc>
        <w:tc>
          <w:tcPr>
            <w:tcW w:w="1429" w:type="dxa"/>
            <w:gridSpan w:val="3"/>
            <w:noWrap w:val="0"/>
            <w:vAlign w:val="center"/>
          </w:tcPr>
          <w:p w14:paraId="66E0849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16EC0E1F">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5616E5E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3E4F7D0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5D7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3A81769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SL5302</w:t>
            </w:r>
          </w:p>
        </w:tc>
        <w:tc>
          <w:tcPr>
            <w:tcW w:w="6037" w:type="dxa"/>
            <w:gridSpan w:val="3"/>
            <w:noWrap w:val="0"/>
            <w:vAlign w:val="center"/>
          </w:tcPr>
          <w:p w14:paraId="3B67B3D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材料品牌、规格、型号不符合设计、合同要求</w:t>
            </w:r>
          </w:p>
        </w:tc>
        <w:tc>
          <w:tcPr>
            <w:tcW w:w="1429" w:type="dxa"/>
            <w:gridSpan w:val="3"/>
            <w:noWrap w:val="0"/>
            <w:vAlign w:val="center"/>
          </w:tcPr>
          <w:p w14:paraId="3A0C4D5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5983AB5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44D3886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0E8E247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0C0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666CF07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SL5303</w:t>
            </w:r>
          </w:p>
        </w:tc>
        <w:tc>
          <w:tcPr>
            <w:tcW w:w="6037" w:type="dxa"/>
            <w:gridSpan w:val="3"/>
            <w:noWrap w:val="0"/>
            <w:vAlign w:val="center"/>
          </w:tcPr>
          <w:p w14:paraId="2C7E83C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材料选用质量标准，未达到设计和施工验收规范标准要求，现场使用假次材料的</w:t>
            </w:r>
          </w:p>
        </w:tc>
        <w:tc>
          <w:tcPr>
            <w:tcW w:w="1429" w:type="dxa"/>
            <w:gridSpan w:val="3"/>
            <w:noWrap w:val="0"/>
            <w:vAlign w:val="center"/>
          </w:tcPr>
          <w:p w14:paraId="2C05AC8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5329C8B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0BECCA1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3EC6A67E">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DDE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FA1E92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SL5304</w:t>
            </w:r>
          </w:p>
        </w:tc>
        <w:tc>
          <w:tcPr>
            <w:tcW w:w="6037" w:type="dxa"/>
            <w:gridSpan w:val="3"/>
            <w:noWrap w:val="0"/>
            <w:vAlign w:val="center"/>
          </w:tcPr>
          <w:p w14:paraId="68BE0FB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材料过期现场未审核发现</w:t>
            </w:r>
          </w:p>
        </w:tc>
        <w:tc>
          <w:tcPr>
            <w:tcW w:w="1429" w:type="dxa"/>
            <w:gridSpan w:val="3"/>
            <w:noWrap w:val="0"/>
            <w:vAlign w:val="center"/>
          </w:tcPr>
          <w:p w14:paraId="592EE29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793F46C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584CE1D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53A573D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836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63D64EE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SL5305</w:t>
            </w:r>
          </w:p>
        </w:tc>
        <w:tc>
          <w:tcPr>
            <w:tcW w:w="6037" w:type="dxa"/>
            <w:gridSpan w:val="3"/>
            <w:noWrap w:val="0"/>
            <w:vAlign w:val="center"/>
          </w:tcPr>
          <w:p w14:paraId="35F1407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防水材料现场未检先用，后检测存在问题的</w:t>
            </w:r>
          </w:p>
        </w:tc>
        <w:tc>
          <w:tcPr>
            <w:tcW w:w="1429" w:type="dxa"/>
            <w:gridSpan w:val="3"/>
            <w:noWrap w:val="0"/>
            <w:vAlign w:val="center"/>
          </w:tcPr>
          <w:p w14:paraId="59B949F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3D6C98C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62507C3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36B3DCA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FC1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trPr>
        <w:tc>
          <w:tcPr>
            <w:tcW w:w="2267" w:type="dxa"/>
            <w:gridSpan w:val="2"/>
            <w:noWrap w:val="0"/>
            <w:vAlign w:val="center"/>
          </w:tcPr>
          <w:p w14:paraId="4CA77D8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SL5306</w:t>
            </w:r>
          </w:p>
        </w:tc>
        <w:tc>
          <w:tcPr>
            <w:tcW w:w="6037" w:type="dxa"/>
            <w:gridSpan w:val="3"/>
            <w:noWrap w:val="0"/>
            <w:vAlign w:val="center"/>
          </w:tcPr>
          <w:p w14:paraId="36444D5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种植屋面卷材未使用耐根穿刺卷材而直接使用普通卷材，卷材厚度不足的</w:t>
            </w:r>
          </w:p>
        </w:tc>
        <w:tc>
          <w:tcPr>
            <w:tcW w:w="1429" w:type="dxa"/>
            <w:gridSpan w:val="3"/>
            <w:noWrap w:val="0"/>
            <w:vAlign w:val="center"/>
          </w:tcPr>
          <w:p w14:paraId="6540428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85" w:type="dxa"/>
            <w:gridSpan w:val="3"/>
            <w:noWrap w:val="0"/>
            <w:vAlign w:val="center"/>
          </w:tcPr>
          <w:p w14:paraId="142B0CA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7401803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7" w:type="dxa"/>
            <w:gridSpan w:val="3"/>
            <w:noWrap w:val="0"/>
            <w:vAlign w:val="center"/>
          </w:tcPr>
          <w:p w14:paraId="218CB27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8D4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13955" w:type="dxa"/>
            <w:gridSpan w:val="18"/>
            <w:noWrap w:val="0"/>
            <w:vAlign w:val="center"/>
          </w:tcPr>
          <w:p w14:paraId="5AA9D10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六、阳台、露台</w:t>
            </w:r>
          </w:p>
        </w:tc>
      </w:tr>
      <w:tr w14:paraId="19A7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vMerge w:val="restart"/>
            <w:noWrap w:val="0"/>
            <w:vAlign w:val="center"/>
          </w:tcPr>
          <w:p w14:paraId="3861428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037" w:type="dxa"/>
            <w:gridSpan w:val="3"/>
            <w:vMerge w:val="restart"/>
            <w:noWrap w:val="0"/>
            <w:vAlign w:val="center"/>
          </w:tcPr>
          <w:p w14:paraId="51EE7E8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224" w:type="dxa"/>
            <w:gridSpan w:val="10"/>
            <w:noWrap w:val="0"/>
            <w:vAlign w:val="center"/>
          </w:tcPr>
          <w:p w14:paraId="22B7D3F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27" w:type="dxa"/>
            <w:gridSpan w:val="3"/>
            <w:noWrap w:val="0"/>
            <w:vAlign w:val="center"/>
          </w:tcPr>
          <w:p w14:paraId="62A5C47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031C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rPr>
        <w:tc>
          <w:tcPr>
            <w:tcW w:w="2267" w:type="dxa"/>
            <w:gridSpan w:val="2"/>
            <w:vMerge w:val="continue"/>
            <w:noWrap w:val="0"/>
            <w:vAlign w:val="center"/>
          </w:tcPr>
          <w:p w14:paraId="01FED492">
            <w:pPr>
              <w:widowControl w:val="0"/>
              <w:kinsoku/>
              <w:adjustRightInd/>
              <w:snapToGrid/>
              <w:spacing w:line="360" w:lineRule="auto"/>
              <w:jc w:val="center"/>
              <w:textAlignment w:val="auto"/>
              <w:rPr>
                <w:rFonts w:ascii="仿宋" w:hAnsi="仿宋" w:eastAsia="仿宋" w:cs="仿宋"/>
                <w:color w:val="auto"/>
                <w:sz w:val="24"/>
                <w:szCs w:val="24"/>
              </w:rPr>
            </w:pPr>
          </w:p>
        </w:tc>
        <w:tc>
          <w:tcPr>
            <w:tcW w:w="6037" w:type="dxa"/>
            <w:gridSpan w:val="3"/>
            <w:vMerge w:val="continue"/>
            <w:noWrap w:val="0"/>
            <w:vAlign w:val="center"/>
          </w:tcPr>
          <w:p w14:paraId="4D5C0380">
            <w:pPr>
              <w:widowControl w:val="0"/>
              <w:kinsoku/>
              <w:adjustRightInd/>
              <w:snapToGrid/>
              <w:spacing w:line="360" w:lineRule="auto"/>
              <w:jc w:val="center"/>
              <w:textAlignment w:val="auto"/>
              <w:rPr>
                <w:rFonts w:ascii="仿宋" w:hAnsi="仿宋" w:eastAsia="仿宋" w:cs="仿宋"/>
                <w:color w:val="auto"/>
                <w:sz w:val="24"/>
                <w:szCs w:val="24"/>
              </w:rPr>
            </w:pPr>
          </w:p>
        </w:tc>
        <w:tc>
          <w:tcPr>
            <w:tcW w:w="1429" w:type="dxa"/>
            <w:gridSpan w:val="3"/>
            <w:noWrap w:val="0"/>
            <w:vAlign w:val="center"/>
          </w:tcPr>
          <w:p w14:paraId="5EF2882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385" w:type="dxa"/>
            <w:gridSpan w:val="3"/>
            <w:noWrap w:val="0"/>
            <w:vAlign w:val="center"/>
          </w:tcPr>
          <w:p w14:paraId="14608F0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410" w:type="dxa"/>
            <w:gridSpan w:val="4"/>
            <w:noWrap w:val="0"/>
            <w:vAlign w:val="center"/>
          </w:tcPr>
          <w:p w14:paraId="33DD1BF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27" w:type="dxa"/>
            <w:gridSpan w:val="3"/>
            <w:noWrap w:val="0"/>
            <w:vAlign w:val="center"/>
          </w:tcPr>
          <w:p w14:paraId="63579AD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0E29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1A566AB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SL6101</w:t>
            </w:r>
          </w:p>
        </w:tc>
        <w:tc>
          <w:tcPr>
            <w:tcW w:w="6037" w:type="dxa"/>
            <w:gridSpan w:val="3"/>
            <w:noWrap w:val="0"/>
            <w:vAlign w:val="center"/>
          </w:tcPr>
          <w:p w14:paraId="016F655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有防水要求的阳台未做防水设计</w:t>
            </w:r>
          </w:p>
        </w:tc>
        <w:tc>
          <w:tcPr>
            <w:tcW w:w="1429" w:type="dxa"/>
            <w:gridSpan w:val="3"/>
            <w:noWrap w:val="0"/>
            <w:vAlign w:val="center"/>
          </w:tcPr>
          <w:p w14:paraId="7B5F343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85" w:type="dxa"/>
            <w:gridSpan w:val="3"/>
            <w:noWrap w:val="0"/>
            <w:vAlign w:val="center"/>
          </w:tcPr>
          <w:p w14:paraId="52E5BCB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022E2BF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7" w:type="dxa"/>
            <w:gridSpan w:val="3"/>
            <w:noWrap w:val="0"/>
            <w:vAlign w:val="center"/>
          </w:tcPr>
          <w:p w14:paraId="66082E00">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2F0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4DC9666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SL6102</w:t>
            </w:r>
          </w:p>
        </w:tc>
        <w:tc>
          <w:tcPr>
            <w:tcW w:w="6037" w:type="dxa"/>
            <w:gridSpan w:val="3"/>
            <w:noWrap w:val="0"/>
            <w:vAlign w:val="center"/>
          </w:tcPr>
          <w:p w14:paraId="29E0604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有配水点的封闭阳台，墙面未设计防水层</w:t>
            </w:r>
          </w:p>
        </w:tc>
        <w:tc>
          <w:tcPr>
            <w:tcW w:w="1429" w:type="dxa"/>
            <w:gridSpan w:val="3"/>
            <w:noWrap w:val="0"/>
            <w:vAlign w:val="center"/>
          </w:tcPr>
          <w:p w14:paraId="2E8B443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85" w:type="dxa"/>
            <w:gridSpan w:val="3"/>
            <w:noWrap w:val="0"/>
            <w:vAlign w:val="center"/>
          </w:tcPr>
          <w:p w14:paraId="6A00751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52DF03B6">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7" w:type="dxa"/>
            <w:gridSpan w:val="3"/>
            <w:noWrap w:val="0"/>
            <w:vAlign w:val="center"/>
          </w:tcPr>
          <w:p w14:paraId="322FDB2A">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5DE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2267" w:type="dxa"/>
            <w:gridSpan w:val="2"/>
            <w:noWrap w:val="0"/>
            <w:vAlign w:val="center"/>
          </w:tcPr>
          <w:p w14:paraId="71E0C45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SL6103</w:t>
            </w:r>
          </w:p>
        </w:tc>
        <w:tc>
          <w:tcPr>
            <w:tcW w:w="6037" w:type="dxa"/>
            <w:gridSpan w:val="3"/>
            <w:noWrap w:val="0"/>
            <w:vAlign w:val="center"/>
          </w:tcPr>
          <w:p w14:paraId="5E745DE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露台排水坡度未按屋面要求设计，排水坡度不足</w:t>
            </w:r>
          </w:p>
        </w:tc>
        <w:tc>
          <w:tcPr>
            <w:tcW w:w="1429" w:type="dxa"/>
            <w:gridSpan w:val="3"/>
            <w:noWrap w:val="0"/>
            <w:vAlign w:val="center"/>
          </w:tcPr>
          <w:p w14:paraId="5DD666F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85" w:type="dxa"/>
            <w:gridSpan w:val="3"/>
            <w:noWrap w:val="0"/>
            <w:vAlign w:val="center"/>
          </w:tcPr>
          <w:p w14:paraId="1AE8B5C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0" w:type="dxa"/>
            <w:gridSpan w:val="4"/>
            <w:noWrap w:val="0"/>
            <w:vAlign w:val="center"/>
          </w:tcPr>
          <w:p w14:paraId="59D7406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7" w:type="dxa"/>
            <w:gridSpan w:val="3"/>
            <w:noWrap w:val="0"/>
            <w:vAlign w:val="center"/>
          </w:tcPr>
          <w:p w14:paraId="28E3DF9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435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976" w:hRule="atLeast"/>
        </w:trPr>
        <w:tc>
          <w:tcPr>
            <w:tcW w:w="2267" w:type="dxa"/>
            <w:gridSpan w:val="2"/>
            <w:noWrap w:val="0"/>
            <w:vAlign w:val="center"/>
          </w:tcPr>
          <w:p w14:paraId="3B7F8E3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SL6201</w:t>
            </w:r>
          </w:p>
        </w:tc>
        <w:tc>
          <w:tcPr>
            <w:tcW w:w="6037" w:type="dxa"/>
            <w:gridSpan w:val="3"/>
            <w:noWrap w:val="0"/>
            <w:vAlign w:val="center"/>
          </w:tcPr>
          <w:p w14:paraId="6117185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阳台防水施工未按设计要求进行，未向地漏方向找坡或地漏缺失、防水涂膜厚度严重不足等</w:t>
            </w:r>
          </w:p>
        </w:tc>
        <w:tc>
          <w:tcPr>
            <w:tcW w:w="1429" w:type="dxa"/>
            <w:gridSpan w:val="3"/>
            <w:noWrap w:val="0"/>
            <w:vAlign w:val="center"/>
          </w:tcPr>
          <w:p w14:paraId="2090ACA4">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6BF83D2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653CACE0">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24763566">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232F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noWrap w:val="0"/>
            <w:vAlign w:val="center"/>
          </w:tcPr>
          <w:p w14:paraId="197A352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SL6202</w:t>
            </w:r>
          </w:p>
        </w:tc>
        <w:tc>
          <w:tcPr>
            <w:tcW w:w="6037" w:type="dxa"/>
            <w:gridSpan w:val="3"/>
            <w:noWrap w:val="0"/>
            <w:vAlign w:val="center"/>
          </w:tcPr>
          <w:p w14:paraId="3A8E5CC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未按照规定进行泼水试验，无泼水记录和照片</w:t>
            </w:r>
          </w:p>
        </w:tc>
        <w:tc>
          <w:tcPr>
            <w:tcW w:w="1429" w:type="dxa"/>
            <w:gridSpan w:val="3"/>
            <w:noWrap w:val="0"/>
            <w:vAlign w:val="center"/>
          </w:tcPr>
          <w:p w14:paraId="7CC6E8A2">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525C461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34140D77">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16364EF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30EC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94" w:hRule="atLeast"/>
        </w:trPr>
        <w:tc>
          <w:tcPr>
            <w:tcW w:w="2267" w:type="dxa"/>
            <w:gridSpan w:val="2"/>
            <w:noWrap w:val="0"/>
            <w:vAlign w:val="center"/>
          </w:tcPr>
          <w:p w14:paraId="5D5BCDB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SL6203</w:t>
            </w:r>
          </w:p>
        </w:tc>
        <w:tc>
          <w:tcPr>
            <w:tcW w:w="6037" w:type="dxa"/>
            <w:gridSpan w:val="3"/>
            <w:noWrap w:val="0"/>
            <w:vAlign w:val="center"/>
          </w:tcPr>
          <w:p w14:paraId="4CE781E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阳台板面、管根、阳台门框下口存在多处渗漏水问题</w:t>
            </w:r>
          </w:p>
        </w:tc>
        <w:tc>
          <w:tcPr>
            <w:tcW w:w="1429" w:type="dxa"/>
            <w:gridSpan w:val="3"/>
            <w:noWrap w:val="0"/>
            <w:vAlign w:val="center"/>
          </w:tcPr>
          <w:p w14:paraId="0C338731">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04972BE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143DE96D">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5D125969">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194C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976" w:hRule="atLeast"/>
        </w:trPr>
        <w:tc>
          <w:tcPr>
            <w:tcW w:w="2267" w:type="dxa"/>
            <w:gridSpan w:val="2"/>
            <w:noWrap w:val="0"/>
            <w:vAlign w:val="center"/>
          </w:tcPr>
          <w:p w14:paraId="2EF0F35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SL6301</w:t>
            </w:r>
          </w:p>
        </w:tc>
        <w:tc>
          <w:tcPr>
            <w:tcW w:w="6037" w:type="dxa"/>
            <w:gridSpan w:val="3"/>
            <w:noWrap w:val="0"/>
            <w:vAlign w:val="center"/>
          </w:tcPr>
          <w:p w14:paraId="682698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材料品牌、规格、型号不符合设计、合同要求；现场使用假次材料</w:t>
            </w:r>
          </w:p>
        </w:tc>
        <w:tc>
          <w:tcPr>
            <w:tcW w:w="1429" w:type="dxa"/>
            <w:gridSpan w:val="3"/>
            <w:noWrap w:val="0"/>
            <w:vAlign w:val="center"/>
          </w:tcPr>
          <w:p w14:paraId="6AF62A8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1B451CC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2" w:type="dxa"/>
            <w:gridSpan w:val="4"/>
            <w:noWrap w:val="0"/>
            <w:vAlign w:val="center"/>
          </w:tcPr>
          <w:p w14:paraId="1C63308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3" w:type="dxa"/>
            <w:gridSpan w:val="3"/>
            <w:noWrap w:val="0"/>
            <w:vAlign w:val="center"/>
          </w:tcPr>
          <w:p w14:paraId="2CD6B721">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379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5" w:hRule="atLeast"/>
        </w:trPr>
        <w:tc>
          <w:tcPr>
            <w:tcW w:w="2267" w:type="dxa"/>
            <w:gridSpan w:val="2"/>
            <w:noWrap w:val="0"/>
            <w:vAlign w:val="center"/>
          </w:tcPr>
          <w:p w14:paraId="43D7921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SL6302</w:t>
            </w:r>
          </w:p>
        </w:tc>
        <w:tc>
          <w:tcPr>
            <w:tcW w:w="6037" w:type="dxa"/>
            <w:gridSpan w:val="3"/>
            <w:noWrap w:val="0"/>
            <w:vAlign w:val="center"/>
          </w:tcPr>
          <w:p w14:paraId="3D2FE7C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防水材料现场未检先用，后检测存在问题的</w:t>
            </w:r>
          </w:p>
        </w:tc>
        <w:tc>
          <w:tcPr>
            <w:tcW w:w="1429" w:type="dxa"/>
            <w:gridSpan w:val="3"/>
            <w:noWrap w:val="0"/>
            <w:vAlign w:val="center"/>
          </w:tcPr>
          <w:p w14:paraId="0A95722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44A77CC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2" w:type="dxa"/>
            <w:gridSpan w:val="4"/>
            <w:noWrap w:val="0"/>
            <w:vAlign w:val="center"/>
          </w:tcPr>
          <w:p w14:paraId="4D2A1E1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13" w:type="dxa"/>
            <w:gridSpan w:val="3"/>
            <w:noWrap w:val="0"/>
            <w:vAlign w:val="center"/>
          </w:tcPr>
          <w:p w14:paraId="3E1ED24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4F3B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65" w:hRule="atLeast"/>
        </w:trPr>
        <w:tc>
          <w:tcPr>
            <w:tcW w:w="13926" w:type="dxa"/>
            <w:gridSpan w:val="17"/>
            <w:noWrap w:val="0"/>
            <w:vAlign w:val="center"/>
          </w:tcPr>
          <w:p w14:paraId="4456259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七、成品保护、连廊</w:t>
            </w:r>
          </w:p>
        </w:tc>
      </w:tr>
      <w:tr w14:paraId="22ED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vMerge w:val="restart"/>
            <w:noWrap w:val="0"/>
            <w:vAlign w:val="center"/>
          </w:tcPr>
          <w:p w14:paraId="2C6B9F8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6037" w:type="dxa"/>
            <w:gridSpan w:val="3"/>
            <w:vMerge w:val="restart"/>
            <w:noWrap w:val="0"/>
            <w:vAlign w:val="center"/>
          </w:tcPr>
          <w:p w14:paraId="6D50F1D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风险事件</w:t>
            </w:r>
          </w:p>
        </w:tc>
        <w:tc>
          <w:tcPr>
            <w:tcW w:w="4209" w:type="dxa"/>
            <w:gridSpan w:val="9"/>
            <w:noWrap w:val="0"/>
            <w:vAlign w:val="center"/>
          </w:tcPr>
          <w:p w14:paraId="15C3D78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风险存在阶段</w:t>
            </w:r>
          </w:p>
        </w:tc>
        <w:tc>
          <w:tcPr>
            <w:tcW w:w="1413" w:type="dxa"/>
            <w:gridSpan w:val="3"/>
            <w:noWrap w:val="0"/>
            <w:vAlign w:val="center"/>
          </w:tcPr>
          <w:p w14:paraId="419F749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认定参考</w:t>
            </w:r>
          </w:p>
        </w:tc>
      </w:tr>
      <w:tr w14:paraId="658E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596" w:hRule="atLeast"/>
        </w:trPr>
        <w:tc>
          <w:tcPr>
            <w:tcW w:w="2267" w:type="dxa"/>
            <w:gridSpan w:val="2"/>
            <w:vMerge w:val="continue"/>
            <w:noWrap w:val="0"/>
            <w:vAlign w:val="center"/>
          </w:tcPr>
          <w:p w14:paraId="2501FC6F">
            <w:pPr>
              <w:widowControl w:val="0"/>
              <w:kinsoku/>
              <w:adjustRightInd/>
              <w:snapToGrid/>
              <w:spacing w:line="360" w:lineRule="auto"/>
              <w:jc w:val="center"/>
              <w:textAlignment w:val="auto"/>
              <w:rPr>
                <w:rFonts w:ascii="仿宋" w:hAnsi="仿宋" w:eastAsia="仿宋" w:cs="仿宋"/>
                <w:color w:val="auto"/>
                <w:sz w:val="24"/>
                <w:szCs w:val="24"/>
              </w:rPr>
            </w:pPr>
          </w:p>
        </w:tc>
        <w:tc>
          <w:tcPr>
            <w:tcW w:w="6037" w:type="dxa"/>
            <w:gridSpan w:val="3"/>
            <w:vMerge w:val="continue"/>
            <w:noWrap w:val="0"/>
            <w:vAlign w:val="center"/>
          </w:tcPr>
          <w:p w14:paraId="0FA199A7">
            <w:pPr>
              <w:widowControl w:val="0"/>
              <w:kinsoku/>
              <w:adjustRightInd/>
              <w:snapToGrid/>
              <w:spacing w:line="360" w:lineRule="auto"/>
              <w:jc w:val="center"/>
              <w:textAlignment w:val="auto"/>
              <w:rPr>
                <w:rFonts w:ascii="仿宋" w:hAnsi="仿宋" w:eastAsia="仿宋" w:cs="仿宋"/>
                <w:color w:val="auto"/>
                <w:sz w:val="24"/>
                <w:szCs w:val="24"/>
              </w:rPr>
            </w:pPr>
          </w:p>
        </w:tc>
        <w:tc>
          <w:tcPr>
            <w:tcW w:w="1429" w:type="dxa"/>
            <w:gridSpan w:val="3"/>
            <w:noWrap w:val="0"/>
            <w:vAlign w:val="center"/>
          </w:tcPr>
          <w:p w14:paraId="08BD6DD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设计阶段</w:t>
            </w:r>
          </w:p>
        </w:tc>
        <w:tc>
          <w:tcPr>
            <w:tcW w:w="1358" w:type="dxa"/>
            <w:gridSpan w:val="2"/>
            <w:noWrap w:val="0"/>
            <w:vAlign w:val="center"/>
          </w:tcPr>
          <w:p w14:paraId="5E2E8C3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施工阶段</w:t>
            </w:r>
          </w:p>
        </w:tc>
        <w:tc>
          <w:tcPr>
            <w:tcW w:w="1422" w:type="dxa"/>
            <w:gridSpan w:val="4"/>
            <w:noWrap w:val="0"/>
            <w:vAlign w:val="center"/>
          </w:tcPr>
          <w:p w14:paraId="67AD329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材料选用</w:t>
            </w:r>
          </w:p>
        </w:tc>
        <w:tc>
          <w:tcPr>
            <w:tcW w:w="1413" w:type="dxa"/>
            <w:gridSpan w:val="3"/>
            <w:noWrap w:val="0"/>
            <w:vAlign w:val="center"/>
          </w:tcPr>
          <w:p w14:paraId="1FC5AD97">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A00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noWrap w:val="0"/>
            <w:vAlign w:val="center"/>
          </w:tcPr>
          <w:p w14:paraId="5EA73D0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SL7101</w:t>
            </w:r>
          </w:p>
        </w:tc>
        <w:tc>
          <w:tcPr>
            <w:tcW w:w="6037" w:type="dxa"/>
            <w:gridSpan w:val="3"/>
            <w:noWrap w:val="0"/>
            <w:vAlign w:val="center"/>
          </w:tcPr>
          <w:p w14:paraId="5130ABB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连廊地面与相邻区域地面未设置高差</w:t>
            </w:r>
          </w:p>
        </w:tc>
        <w:tc>
          <w:tcPr>
            <w:tcW w:w="1429" w:type="dxa"/>
            <w:gridSpan w:val="3"/>
            <w:noWrap w:val="0"/>
            <w:vAlign w:val="center"/>
          </w:tcPr>
          <w:p w14:paraId="061DC12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58" w:type="dxa"/>
            <w:gridSpan w:val="2"/>
            <w:noWrap w:val="0"/>
            <w:vAlign w:val="center"/>
          </w:tcPr>
          <w:p w14:paraId="080FB04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2" w:type="dxa"/>
            <w:gridSpan w:val="4"/>
            <w:noWrap w:val="0"/>
            <w:vAlign w:val="center"/>
          </w:tcPr>
          <w:p w14:paraId="62EC910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3789DB74">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7DBD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noWrap w:val="0"/>
            <w:vAlign w:val="center"/>
          </w:tcPr>
          <w:p w14:paraId="6BD5C52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SL7102</w:t>
            </w:r>
          </w:p>
        </w:tc>
        <w:tc>
          <w:tcPr>
            <w:tcW w:w="6037" w:type="dxa"/>
            <w:gridSpan w:val="3"/>
            <w:noWrap w:val="0"/>
            <w:vAlign w:val="center"/>
          </w:tcPr>
          <w:p w14:paraId="2387B4F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无排水系统（未找坡，未设置地漏）</w:t>
            </w:r>
          </w:p>
        </w:tc>
        <w:tc>
          <w:tcPr>
            <w:tcW w:w="1429" w:type="dxa"/>
            <w:gridSpan w:val="3"/>
            <w:noWrap w:val="0"/>
            <w:vAlign w:val="center"/>
          </w:tcPr>
          <w:p w14:paraId="7AC9D3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358" w:type="dxa"/>
            <w:gridSpan w:val="2"/>
            <w:noWrap w:val="0"/>
            <w:vAlign w:val="center"/>
          </w:tcPr>
          <w:p w14:paraId="787FA6FE">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22" w:type="dxa"/>
            <w:gridSpan w:val="4"/>
            <w:noWrap w:val="0"/>
            <w:vAlign w:val="center"/>
          </w:tcPr>
          <w:p w14:paraId="7889D5F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32E09068">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33A4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94" w:hRule="atLeast"/>
        </w:trPr>
        <w:tc>
          <w:tcPr>
            <w:tcW w:w="2267" w:type="dxa"/>
            <w:gridSpan w:val="2"/>
            <w:noWrap w:val="0"/>
            <w:vAlign w:val="center"/>
          </w:tcPr>
          <w:p w14:paraId="25A18A5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SL7201</w:t>
            </w:r>
          </w:p>
        </w:tc>
        <w:tc>
          <w:tcPr>
            <w:tcW w:w="6037" w:type="dxa"/>
            <w:gridSpan w:val="3"/>
            <w:noWrap w:val="0"/>
            <w:vAlign w:val="center"/>
          </w:tcPr>
          <w:p w14:paraId="6CFC7BA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成品保护不当，造成严重损坏未修复即进行下道工序</w:t>
            </w:r>
          </w:p>
        </w:tc>
        <w:tc>
          <w:tcPr>
            <w:tcW w:w="1429" w:type="dxa"/>
            <w:gridSpan w:val="3"/>
            <w:noWrap w:val="0"/>
            <w:vAlign w:val="center"/>
          </w:tcPr>
          <w:p w14:paraId="4D45E4C5">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4C7D382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185B700B">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5346D49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96A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noWrap w:val="0"/>
            <w:vAlign w:val="center"/>
          </w:tcPr>
          <w:p w14:paraId="6C3FD35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SL7202</w:t>
            </w:r>
          </w:p>
        </w:tc>
        <w:tc>
          <w:tcPr>
            <w:tcW w:w="6037" w:type="dxa"/>
            <w:gridSpan w:val="3"/>
            <w:noWrap w:val="0"/>
            <w:vAlign w:val="center"/>
          </w:tcPr>
          <w:p w14:paraId="707F55C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连廊地面与相邻区域地面未设置高差</w:t>
            </w:r>
          </w:p>
        </w:tc>
        <w:tc>
          <w:tcPr>
            <w:tcW w:w="1429" w:type="dxa"/>
            <w:gridSpan w:val="3"/>
            <w:noWrap w:val="0"/>
            <w:vAlign w:val="center"/>
          </w:tcPr>
          <w:p w14:paraId="5C77D119">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145ADC0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2A3E5AA3">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2BF79673">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5AFF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9" w:type="dxa"/>
          <w:trHeight w:val="488" w:hRule="atLeast"/>
        </w:trPr>
        <w:tc>
          <w:tcPr>
            <w:tcW w:w="2267" w:type="dxa"/>
            <w:gridSpan w:val="2"/>
            <w:noWrap w:val="0"/>
            <w:vAlign w:val="center"/>
          </w:tcPr>
          <w:p w14:paraId="3BD5A12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SL7203</w:t>
            </w:r>
          </w:p>
        </w:tc>
        <w:tc>
          <w:tcPr>
            <w:tcW w:w="6037" w:type="dxa"/>
            <w:gridSpan w:val="3"/>
            <w:noWrap w:val="0"/>
            <w:vAlign w:val="center"/>
          </w:tcPr>
          <w:p w14:paraId="318CC42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无排水系统（未找坡，未设置地漏）</w:t>
            </w:r>
          </w:p>
        </w:tc>
        <w:tc>
          <w:tcPr>
            <w:tcW w:w="1429" w:type="dxa"/>
            <w:gridSpan w:val="3"/>
            <w:noWrap w:val="0"/>
            <w:vAlign w:val="center"/>
          </w:tcPr>
          <w:p w14:paraId="684DABEC">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58" w:type="dxa"/>
            <w:gridSpan w:val="2"/>
            <w:noWrap w:val="0"/>
            <w:vAlign w:val="center"/>
          </w:tcPr>
          <w:p w14:paraId="48E48CC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w:t>
            </w:r>
          </w:p>
        </w:tc>
        <w:tc>
          <w:tcPr>
            <w:tcW w:w="1422" w:type="dxa"/>
            <w:gridSpan w:val="4"/>
            <w:noWrap w:val="0"/>
            <w:vAlign w:val="center"/>
          </w:tcPr>
          <w:p w14:paraId="18137F3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413" w:type="dxa"/>
            <w:gridSpan w:val="3"/>
            <w:noWrap w:val="0"/>
            <w:vAlign w:val="center"/>
          </w:tcPr>
          <w:p w14:paraId="1D222AC3">
            <w:pPr>
              <w:pStyle w:val="11"/>
              <w:widowControl w:val="0"/>
              <w:kinsoku/>
              <w:adjustRightInd/>
              <w:snapToGrid/>
              <w:spacing w:line="360" w:lineRule="auto"/>
              <w:jc w:val="center"/>
              <w:textAlignment w:val="auto"/>
              <w:rPr>
                <w:rFonts w:ascii="仿宋" w:hAnsi="仿宋" w:eastAsia="仿宋" w:cs="仿宋"/>
                <w:color w:val="auto"/>
                <w:sz w:val="24"/>
                <w:szCs w:val="24"/>
              </w:rPr>
            </w:pPr>
          </w:p>
        </w:tc>
      </w:tr>
    </w:tbl>
    <w:p w14:paraId="643BCF03">
      <w:pPr>
        <w:kinsoku/>
        <w:rPr>
          <w:color w:val="auto"/>
        </w:rPr>
      </w:pPr>
    </w:p>
    <w:p w14:paraId="50F37C7E">
      <w:pPr>
        <w:kinsoku/>
        <w:rPr>
          <w:color w:val="auto"/>
        </w:rPr>
        <w:sectPr>
          <w:headerReference r:id="rId9" w:type="default"/>
          <w:pgSz w:w="16838" w:h="11906" w:orient="landscape"/>
          <w:pgMar w:top="1800" w:right="1440" w:bottom="1800" w:left="1440" w:header="851" w:footer="992" w:gutter="0"/>
          <w:cols w:space="720" w:num="1"/>
          <w:docGrid w:type="lines" w:linePitch="312" w:charSpace="0"/>
        </w:sectPr>
      </w:pPr>
    </w:p>
    <w:p w14:paraId="7059F3EB">
      <w:pPr>
        <w:pStyle w:val="3"/>
        <w:rPr>
          <w:lang w:eastAsia="zh-CN"/>
        </w:rPr>
      </w:pPr>
      <w:r>
        <w:rPr>
          <w:rFonts w:hint="eastAsia"/>
          <w:lang w:eastAsia="zh-CN"/>
        </w:rPr>
        <w:t>附录</w:t>
      </w:r>
      <w:r>
        <w:rPr>
          <w:rFonts w:hint="eastAsia"/>
          <w:lang w:val="en-US" w:eastAsia="zh-CN"/>
        </w:rPr>
        <w:t>D</w:t>
      </w:r>
      <w:r>
        <w:rPr>
          <w:rFonts w:hint="eastAsia"/>
          <w:lang w:eastAsia="zh-CN"/>
        </w:rPr>
        <w:t>回访检查时间节点、人员及检查手段要求</w:t>
      </w:r>
    </w:p>
    <w:p w14:paraId="5E7889BB">
      <w:pPr>
        <w:widowControl w:val="0"/>
        <w:kinsoku/>
        <w:adjustRightInd/>
        <w:snapToGrid/>
        <w:spacing w:line="360" w:lineRule="auto"/>
        <w:jc w:val="center"/>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回访检查时间节点、人员及检查手段要求</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2"/>
        <w:gridCol w:w="978"/>
        <w:gridCol w:w="3099"/>
        <w:gridCol w:w="1408"/>
        <w:gridCol w:w="1337"/>
      </w:tblGrid>
      <w:tr w14:paraId="3647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402" w:type="dxa"/>
            <w:noWrap w:val="0"/>
            <w:vAlign w:val="center"/>
          </w:tcPr>
          <w:p w14:paraId="6ADA260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时间</w:t>
            </w:r>
          </w:p>
        </w:tc>
        <w:tc>
          <w:tcPr>
            <w:tcW w:w="4077" w:type="dxa"/>
            <w:gridSpan w:val="2"/>
            <w:noWrap w:val="0"/>
            <w:vAlign w:val="center"/>
          </w:tcPr>
          <w:p w14:paraId="0C4D2D7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人员</w:t>
            </w:r>
          </w:p>
        </w:tc>
        <w:tc>
          <w:tcPr>
            <w:tcW w:w="1408" w:type="dxa"/>
            <w:noWrap w:val="0"/>
            <w:vAlign w:val="center"/>
          </w:tcPr>
          <w:p w14:paraId="4607774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手段</w:t>
            </w:r>
          </w:p>
        </w:tc>
        <w:tc>
          <w:tcPr>
            <w:tcW w:w="1337" w:type="dxa"/>
            <w:noWrap w:val="0"/>
            <w:vAlign w:val="center"/>
          </w:tcPr>
          <w:p w14:paraId="65F8419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成果文件</w:t>
            </w:r>
          </w:p>
        </w:tc>
      </w:tr>
      <w:tr w14:paraId="79E7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restart"/>
            <w:noWrap w:val="0"/>
            <w:vAlign w:val="center"/>
          </w:tcPr>
          <w:p w14:paraId="71854AD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第一次回访：竣工后3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6个月</w:t>
            </w:r>
          </w:p>
        </w:tc>
        <w:tc>
          <w:tcPr>
            <w:tcW w:w="978" w:type="dxa"/>
            <w:noWrap w:val="0"/>
            <w:vAlign w:val="center"/>
          </w:tcPr>
          <w:p w14:paraId="1AC76EE3">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458A213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项目负责人</w:t>
            </w:r>
            <w:r>
              <w:rPr>
                <w:rFonts w:hint="eastAsia" w:ascii="仿宋" w:hAnsi="仿宋" w:eastAsia="仿宋" w:cs="仿宋"/>
                <w:color w:val="auto"/>
                <w:sz w:val="24"/>
                <w:szCs w:val="24"/>
              </w:rPr>
              <w:t>、风险管理工程师、检测人员</w:t>
            </w:r>
          </w:p>
        </w:tc>
        <w:tc>
          <w:tcPr>
            <w:tcW w:w="1408" w:type="dxa"/>
            <w:vMerge w:val="restart"/>
            <w:noWrap w:val="0"/>
            <w:vAlign w:val="center"/>
          </w:tcPr>
          <w:p w14:paraId="37FA4AB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目测、搜集物业保修记录、外墙红外扫描、无人机拍摄、质量问卷调查等</w:t>
            </w:r>
          </w:p>
        </w:tc>
        <w:tc>
          <w:tcPr>
            <w:tcW w:w="1337" w:type="dxa"/>
            <w:vMerge w:val="restart"/>
            <w:noWrap w:val="0"/>
            <w:vAlign w:val="center"/>
          </w:tcPr>
          <w:p w14:paraId="0922A40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回访检查报告</w:t>
            </w:r>
          </w:p>
        </w:tc>
      </w:tr>
      <w:tr w14:paraId="645D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402" w:type="dxa"/>
            <w:vMerge w:val="continue"/>
            <w:noWrap w:val="0"/>
            <w:vAlign w:val="center"/>
          </w:tcPr>
          <w:p w14:paraId="2D54BBC6">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08AB739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15A2F9D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住宅质量保险</w:t>
            </w:r>
            <w:r>
              <w:rPr>
                <w:rFonts w:hint="eastAsia" w:ascii="仿宋" w:hAnsi="仿宋" w:eastAsia="仿宋" w:cs="仿宋"/>
                <w:color w:val="auto"/>
                <w:sz w:val="24"/>
                <w:szCs w:val="24"/>
              </w:rPr>
              <w:t>项目经理、建设单位项目负责人、施工单位项目负责人、物业负责人</w:t>
            </w:r>
          </w:p>
        </w:tc>
        <w:tc>
          <w:tcPr>
            <w:tcW w:w="1408" w:type="dxa"/>
            <w:vMerge w:val="continue"/>
            <w:noWrap w:val="0"/>
            <w:vAlign w:val="center"/>
          </w:tcPr>
          <w:p w14:paraId="1785E908">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0EADA536">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4261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restart"/>
            <w:noWrap w:val="0"/>
            <w:vAlign w:val="center"/>
          </w:tcPr>
          <w:p w14:paraId="2D8D6BA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第二次回访：竣工后第一个雨季（6-9月）</w:t>
            </w:r>
          </w:p>
        </w:tc>
        <w:tc>
          <w:tcPr>
            <w:tcW w:w="978" w:type="dxa"/>
            <w:noWrap w:val="0"/>
            <w:vAlign w:val="center"/>
          </w:tcPr>
          <w:p w14:paraId="6235A31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0906034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项目负责人</w:t>
            </w:r>
            <w:r>
              <w:rPr>
                <w:rFonts w:hint="eastAsia" w:ascii="仿宋" w:hAnsi="仿宋" w:eastAsia="仿宋" w:cs="仿宋"/>
                <w:color w:val="auto"/>
                <w:sz w:val="24"/>
                <w:szCs w:val="24"/>
              </w:rPr>
              <w:t>、风险管理工程师、检测人员</w:t>
            </w:r>
          </w:p>
        </w:tc>
        <w:tc>
          <w:tcPr>
            <w:tcW w:w="1408" w:type="dxa"/>
            <w:vMerge w:val="restart"/>
            <w:noWrap w:val="0"/>
            <w:vAlign w:val="center"/>
          </w:tcPr>
          <w:p w14:paraId="4DDAE5D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目测、搜集物业保修记录、外墙红外扫描、无人机拍摄、质量问卷调查等</w:t>
            </w:r>
          </w:p>
        </w:tc>
        <w:tc>
          <w:tcPr>
            <w:tcW w:w="1337" w:type="dxa"/>
            <w:vMerge w:val="restart"/>
            <w:noWrap w:val="0"/>
            <w:vAlign w:val="center"/>
          </w:tcPr>
          <w:p w14:paraId="655EA5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回访检查报告</w:t>
            </w:r>
          </w:p>
        </w:tc>
      </w:tr>
      <w:tr w14:paraId="2641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continue"/>
            <w:noWrap w:val="0"/>
            <w:vAlign w:val="center"/>
          </w:tcPr>
          <w:p w14:paraId="6C6DC7AB">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1EE467D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风险管理机构酌情参与人员</w:t>
            </w:r>
          </w:p>
        </w:tc>
        <w:tc>
          <w:tcPr>
            <w:tcW w:w="3099" w:type="dxa"/>
            <w:noWrap w:val="0"/>
            <w:vAlign w:val="center"/>
          </w:tcPr>
          <w:p w14:paraId="5890CC8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风险管理专家</w:t>
            </w:r>
          </w:p>
        </w:tc>
        <w:tc>
          <w:tcPr>
            <w:tcW w:w="1408" w:type="dxa"/>
            <w:vMerge w:val="continue"/>
            <w:noWrap w:val="0"/>
            <w:vAlign w:val="center"/>
          </w:tcPr>
          <w:p w14:paraId="77F41054">
            <w:pPr>
              <w:widowControl w:val="0"/>
              <w:kinsoku/>
              <w:adjustRightInd/>
              <w:snapToGrid/>
              <w:spacing w:line="360" w:lineRule="auto"/>
              <w:jc w:val="center"/>
              <w:textAlignment w:val="auto"/>
              <w:rPr>
                <w:rFonts w:ascii="仿宋" w:hAnsi="仿宋" w:eastAsia="仿宋" w:cs="仿宋"/>
                <w:color w:val="auto"/>
                <w:sz w:val="24"/>
                <w:szCs w:val="24"/>
              </w:rPr>
            </w:pPr>
          </w:p>
        </w:tc>
        <w:tc>
          <w:tcPr>
            <w:tcW w:w="1337" w:type="dxa"/>
            <w:vMerge w:val="continue"/>
            <w:noWrap w:val="0"/>
            <w:vAlign w:val="center"/>
          </w:tcPr>
          <w:p w14:paraId="6081862C">
            <w:pPr>
              <w:widowControl w:val="0"/>
              <w:kinsoku/>
              <w:adjustRightInd/>
              <w:snapToGrid/>
              <w:spacing w:line="360" w:lineRule="auto"/>
              <w:jc w:val="center"/>
              <w:textAlignment w:val="auto"/>
              <w:rPr>
                <w:rFonts w:ascii="仿宋" w:hAnsi="仿宋" w:eastAsia="仿宋" w:cs="仿宋"/>
                <w:color w:val="auto"/>
                <w:sz w:val="24"/>
                <w:szCs w:val="24"/>
              </w:rPr>
            </w:pPr>
          </w:p>
        </w:tc>
      </w:tr>
      <w:tr w14:paraId="64CF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402" w:type="dxa"/>
            <w:vMerge w:val="continue"/>
            <w:noWrap w:val="0"/>
            <w:vAlign w:val="center"/>
          </w:tcPr>
          <w:p w14:paraId="76814ED2">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46AEE57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69B9692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建设单位项目负责人、施工单位项目负责人、物业负责人</w:t>
            </w:r>
          </w:p>
        </w:tc>
        <w:tc>
          <w:tcPr>
            <w:tcW w:w="1408" w:type="dxa"/>
            <w:vMerge w:val="continue"/>
            <w:noWrap w:val="0"/>
            <w:vAlign w:val="center"/>
          </w:tcPr>
          <w:p w14:paraId="005C6913">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4310B632">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546C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restart"/>
            <w:noWrap w:val="0"/>
            <w:vAlign w:val="center"/>
          </w:tcPr>
          <w:p w14:paraId="586CA8D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第三次回访：竣工后第二个雨季（6-9月）</w:t>
            </w:r>
          </w:p>
        </w:tc>
        <w:tc>
          <w:tcPr>
            <w:tcW w:w="978" w:type="dxa"/>
            <w:noWrap w:val="0"/>
            <w:vAlign w:val="center"/>
          </w:tcPr>
          <w:p w14:paraId="4921CF7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4449443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风险管理工程师检测人员</w:t>
            </w:r>
          </w:p>
        </w:tc>
        <w:tc>
          <w:tcPr>
            <w:tcW w:w="1408" w:type="dxa"/>
            <w:vMerge w:val="restart"/>
            <w:noWrap w:val="0"/>
            <w:vAlign w:val="center"/>
          </w:tcPr>
          <w:p w14:paraId="49CFB6F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原位复查、目测、搜集物业保修记录、外墙红外扫描、无人机拍摄、质量问卷调查等</w:t>
            </w:r>
          </w:p>
        </w:tc>
        <w:tc>
          <w:tcPr>
            <w:tcW w:w="1337" w:type="dxa"/>
            <w:vMerge w:val="restart"/>
            <w:noWrap w:val="0"/>
            <w:vAlign w:val="center"/>
          </w:tcPr>
          <w:p w14:paraId="79B2ECC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回访检查报告</w:t>
            </w:r>
          </w:p>
        </w:tc>
      </w:tr>
      <w:tr w14:paraId="353A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continue"/>
            <w:noWrap w:val="0"/>
            <w:vAlign w:val="center"/>
          </w:tcPr>
          <w:p w14:paraId="4455FD5F">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535DCF3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风险管理机构酌情参与人员</w:t>
            </w:r>
          </w:p>
        </w:tc>
        <w:tc>
          <w:tcPr>
            <w:tcW w:w="3099" w:type="dxa"/>
            <w:noWrap w:val="0"/>
            <w:vAlign w:val="center"/>
          </w:tcPr>
          <w:p w14:paraId="14D2D833">
            <w:pPr>
              <w:pStyle w:val="11"/>
              <w:widowControl w:val="0"/>
              <w:kinsoku/>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项目负责人</w:t>
            </w:r>
          </w:p>
          <w:p w14:paraId="7A1469E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风险管理专家</w:t>
            </w:r>
          </w:p>
        </w:tc>
        <w:tc>
          <w:tcPr>
            <w:tcW w:w="1408" w:type="dxa"/>
            <w:vMerge w:val="continue"/>
            <w:noWrap w:val="0"/>
            <w:vAlign w:val="center"/>
          </w:tcPr>
          <w:p w14:paraId="41B608C7">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6F970437">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2E8C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402" w:type="dxa"/>
            <w:vMerge w:val="continue"/>
            <w:noWrap w:val="0"/>
            <w:vAlign w:val="center"/>
          </w:tcPr>
          <w:p w14:paraId="4930B0FE">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978" w:type="dxa"/>
            <w:noWrap w:val="0"/>
            <w:vAlign w:val="center"/>
          </w:tcPr>
          <w:p w14:paraId="43F4A23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616211E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建设单位项目负责人、施工单位项目负责人、物业负责人</w:t>
            </w:r>
          </w:p>
        </w:tc>
        <w:tc>
          <w:tcPr>
            <w:tcW w:w="1408" w:type="dxa"/>
            <w:vMerge w:val="continue"/>
            <w:noWrap w:val="0"/>
            <w:vAlign w:val="center"/>
          </w:tcPr>
          <w:p w14:paraId="2FF628A6">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4DFE3072">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444D9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restart"/>
            <w:noWrap w:val="0"/>
            <w:vAlign w:val="center"/>
          </w:tcPr>
          <w:p w14:paraId="1A1FB08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第四次回访：保险责任期开始前3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6个月</w:t>
            </w:r>
          </w:p>
        </w:tc>
        <w:tc>
          <w:tcPr>
            <w:tcW w:w="978" w:type="dxa"/>
            <w:noWrap w:val="0"/>
            <w:vAlign w:val="center"/>
          </w:tcPr>
          <w:p w14:paraId="5637EF3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612E5BCA">
            <w:pPr>
              <w:pStyle w:val="11"/>
              <w:widowControl w:val="0"/>
              <w:kinsoku/>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项目负责人</w:t>
            </w:r>
          </w:p>
          <w:p w14:paraId="36982C5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风险管理工程师</w:t>
            </w:r>
          </w:p>
          <w:p w14:paraId="7551044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检测人员</w:t>
            </w:r>
          </w:p>
        </w:tc>
        <w:tc>
          <w:tcPr>
            <w:tcW w:w="1408" w:type="dxa"/>
            <w:vMerge w:val="restart"/>
            <w:noWrap w:val="0"/>
            <w:vAlign w:val="center"/>
          </w:tcPr>
          <w:p w14:paraId="031949D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原位复查、目测、搜集物业保修记录、外墙红外扫描、无人机拍摄、质量问卷调查等</w:t>
            </w:r>
          </w:p>
        </w:tc>
        <w:tc>
          <w:tcPr>
            <w:tcW w:w="1337" w:type="dxa"/>
            <w:vMerge w:val="restart"/>
            <w:noWrap w:val="0"/>
            <w:vAlign w:val="center"/>
          </w:tcPr>
          <w:p w14:paraId="5A45108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回访检查报告</w:t>
            </w:r>
          </w:p>
        </w:tc>
      </w:tr>
      <w:tr w14:paraId="049EB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02" w:type="dxa"/>
            <w:vMerge w:val="continue"/>
            <w:noWrap w:val="0"/>
            <w:vAlign w:val="center"/>
          </w:tcPr>
          <w:p w14:paraId="626E9C57">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06D25B0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风险管理机构酌情参与人员</w:t>
            </w:r>
          </w:p>
        </w:tc>
        <w:tc>
          <w:tcPr>
            <w:tcW w:w="3099" w:type="dxa"/>
            <w:noWrap w:val="0"/>
            <w:vAlign w:val="center"/>
          </w:tcPr>
          <w:p w14:paraId="4AE118D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风险管理专家</w:t>
            </w:r>
          </w:p>
        </w:tc>
        <w:tc>
          <w:tcPr>
            <w:tcW w:w="1408" w:type="dxa"/>
            <w:vMerge w:val="continue"/>
            <w:noWrap w:val="0"/>
            <w:vAlign w:val="center"/>
          </w:tcPr>
          <w:p w14:paraId="712895D4">
            <w:pPr>
              <w:widowControl w:val="0"/>
              <w:kinsoku/>
              <w:adjustRightInd/>
              <w:snapToGrid/>
              <w:spacing w:line="360" w:lineRule="auto"/>
              <w:jc w:val="center"/>
              <w:textAlignment w:val="auto"/>
              <w:rPr>
                <w:rFonts w:ascii="仿宋" w:hAnsi="仿宋" w:eastAsia="仿宋" w:cs="仿宋"/>
                <w:color w:val="auto"/>
                <w:sz w:val="24"/>
                <w:szCs w:val="24"/>
              </w:rPr>
            </w:pPr>
          </w:p>
        </w:tc>
        <w:tc>
          <w:tcPr>
            <w:tcW w:w="1337" w:type="dxa"/>
            <w:vMerge w:val="continue"/>
            <w:noWrap w:val="0"/>
            <w:vAlign w:val="center"/>
          </w:tcPr>
          <w:p w14:paraId="3058B9A1">
            <w:pPr>
              <w:widowControl w:val="0"/>
              <w:kinsoku/>
              <w:adjustRightInd/>
              <w:snapToGrid/>
              <w:spacing w:line="360" w:lineRule="auto"/>
              <w:jc w:val="center"/>
              <w:textAlignment w:val="auto"/>
              <w:rPr>
                <w:rFonts w:ascii="仿宋" w:hAnsi="仿宋" w:eastAsia="仿宋" w:cs="仿宋"/>
                <w:color w:val="auto"/>
                <w:sz w:val="24"/>
                <w:szCs w:val="24"/>
              </w:rPr>
            </w:pPr>
          </w:p>
        </w:tc>
      </w:tr>
      <w:tr w14:paraId="312E7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trPr>
        <w:tc>
          <w:tcPr>
            <w:tcW w:w="1402" w:type="dxa"/>
            <w:vMerge w:val="continue"/>
            <w:noWrap w:val="0"/>
            <w:vAlign w:val="center"/>
          </w:tcPr>
          <w:p w14:paraId="6DFA16AC">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3D7F740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5032A99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建设单位项目负责人、施工单位项目负责人、物业负责人</w:t>
            </w:r>
          </w:p>
        </w:tc>
        <w:tc>
          <w:tcPr>
            <w:tcW w:w="1408" w:type="dxa"/>
            <w:vMerge w:val="continue"/>
            <w:noWrap w:val="0"/>
            <w:vAlign w:val="center"/>
          </w:tcPr>
          <w:p w14:paraId="33D19033">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4500A808">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0C10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402" w:type="dxa"/>
            <w:vMerge w:val="restart"/>
            <w:noWrap w:val="0"/>
            <w:vAlign w:val="center"/>
          </w:tcPr>
          <w:p w14:paraId="6DE6593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理赔交底及遗留问题复</w:t>
            </w:r>
          </w:p>
          <w:p w14:paraId="4132B29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查：</w:t>
            </w:r>
          </w:p>
          <w:p w14:paraId="19DB411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保险责任期开始前1个月</w:t>
            </w:r>
          </w:p>
        </w:tc>
        <w:tc>
          <w:tcPr>
            <w:tcW w:w="978" w:type="dxa"/>
            <w:noWrap w:val="0"/>
            <w:vAlign w:val="center"/>
          </w:tcPr>
          <w:p w14:paraId="24ECF0C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359CFA3F">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项目负责人</w:t>
            </w:r>
            <w:r>
              <w:rPr>
                <w:rFonts w:hint="eastAsia" w:ascii="仿宋" w:hAnsi="仿宋" w:eastAsia="仿宋" w:cs="仿宋"/>
                <w:color w:val="auto"/>
                <w:sz w:val="24"/>
                <w:szCs w:val="24"/>
              </w:rPr>
              <w:t>风险管理工程师</w:t>
            </w:r>
          </w:p>
        </w:tc>
        <w:tc>
          <w:tcPr>
            <w:tcW w:w="1408" w:type="dxa"/>
            <w:vMerge w:val="restart"/>
            <w:noWrap w:val="0"/>
            <w:vAlign w:val="center"/>
          </w:tcPr>
          <w:p w14:paraId="0B4E1794">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原位复查、相关检测（如有</w:t>
            </w:r>
          </w:p>
          <w:p w14:paraId="49B0ECB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必要）</w:t>
            </w:r>
          </w:p>
        </w:tc>
        <w:tc>
          <w:tcPr>
            <w:tcW w:w="1337" w:type="dxa"/>
            <w:vMerge w:val="restart"/>
            <w:noWrap w:val="0"/>
            <w:vAlign w:val="center"/>
          </w:tcPr>
          <w:p w14:paraId="04AB630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回访风险评估报告</w:t>
            </w:r>
          </w:p>
        </w:tc>
      </w:tr>
      <w:tr w14:paraId="6DCF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trPr>
        <w:tc>
          <w:tcPr>
            <w:tcW w:w="1402" w:type="dxa"/>
            <w:vMerge w:val="continue"/>
            <w:noWrap w:val="0"/>
            <w:vAlign w:val="center"/>
          </w:tcPr>
          <w:p w14:paraId="5A626DFA">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7F81CEE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风险管理机构酌情参与人员</w:t>
            </w:r>
          </w:p>
        </w:tc>
        <w:tc>
          <w:tcPr>
            <w:tcW w:w="3099" w:type="dxa"/>
            <w:noWrap w:val="0"/>
            <w:vAlign w:val="center"/>
          </w:tcPr>
          <w:p w14:paraId="7C0934A7">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检测人员</w:t>
            </w:r>
          </w:p>
          <w:p w14:paraId="13D1097A">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风险管理专家</w:t>
            </w:r>
          </w:p>
        </w:tc>
        <w:tc>
          <w:tcPr>
            <w:tcW w:w="1408" w:type="dxa"/>
            <w:vMerge w:val="continue"/>
            <w:noWrap w:val="0"/>
            <w:vAlign w:val="center"/>
          </w:tcPr>
          <w:p w14:paraId="644BC7E8">
            <w:pPr>
              <w:pStyle w:val="11"/>
              <w:widowControl w:val="0"/>
              <w:kinsoku/>
              <w:adjustRightInd/>
              <w:snapToGrid/>
              <w:spacing w:line="360" w:lineRule="auto"/>
              <w:jc w:val="center"/>
              <w:textAlignment w:val="auto"/>
              <w:rPr>
                <w:rFonts w:ascii="仿宋" w:hAnsi="仿宋" w:eastAsia="仿宋" w:cs="仿宋"/>
                <w:color w:val="auto"/>
                <w:sz w:val="24"/>
                <w:szCs w:val="24"/>
              </w:rPr>
            </w:pPr>
          </w:p>
        </w:tc>
        <w:tc>
          <w:tcPr>
            <w:tcW w:w="1337" w:type="dxa"/>
            <w:vMerge w:val="continue"/>
            <w:noWrap w:val="0"/>
            <w:vAlign w:val="center"/>
          </w:tcPr>
          <w:p w14:paraId="780509DD">
            <w:pPr>
              <w:pStyle w:val="11"/>
              <w:widowControl w:val="0"/>
              <w:kinsoku/>
              <w:adjustRightInd/>
              <w:snapToGrid/>
              <w:spacing w:line="360" w:lineRule="auto"/>
              <w:jc w:val="center"/>
              <w:textAlignment w:val="auto"/>
              <w:rPr>
                <w:rFonts w:ascii="仿宋" w:hAnsi="仿宋" w:eastAsia="仿宋" w:cs="仿宋"/>
                <w:color w:val="auto"/>
                <w:sz w:val="24"/>
                <w:szCs w:val="24"/>
              </w:rPr>
            </w:pPr>
          </w:p>
        </w:tc>
      </w:tr>
      <w:tr w14:paraId="6C77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trPr>
        <w:tc>
          <w:tcPr>
            <w:tcW w:w="1402" w:type="dxa"/>
            <w:vMerge w:val="continue"/>
            <w:noWrap w:val="0"/>
            <w:vAlign w:val="center"/>
          </w:tcPr>
          <w:p w14:paraId="1C97DDEA">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978" w:type="dxa"/>
            <w:noWrap w:val="0"/>
            <w:vAlign w:val="center"/>
          </w:tcPr>
          <w:p w14:paraId="1B0192A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770A3FC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住宅质量保险</w:t>
            </w:r>
            <w:r>
              <w:rPr>
                <w:rFonts w:hint="eastAsia" w:ascii="仿宋" w:hAnsi="仿宋" w:eastAsia="仿宋" w:cs="仿宋"/>
                <w:color w:val="auto"/>
                <w:sz w:val="24"/>
                <w:szCs w:val="24"/>
              </w:rPr>
              <w:t>项目经理、建设单位项目负责人、施工单位项目负责人、物业负责人、主承保公司理赔服务人员</w:t>
            </w:r>
          </w:p>
        </w:tc>
        <w:tc>
          <w:tcPr>
            <w:tcW w:w="1408" w:type="dxa"/>
            <w:vMerge w:val="continue"/>
            <w:noWrap w:val="0"/>
            <w:vAlign w:val="center"/>
          </w:tcPr>
          <w:p w14:paraId="5C844B97">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6F153617">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r w14:paraId="7F226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trPr>
        <w:tc>
          <w:tcPr>
            <w:tcW w:w="1402" w:type="dxa"/>
            <w:vMerge w:val="restart"/>
            <w:noWrap w:val="0"/>
            <w:vAlign w:val="center"/>
          </w:tcPr>
          <w:p w14:paraId="2751E99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应急回访：小区发生重大质量舆情、突发质量事件或系统性质量风险，或应主承保公司要求</w:t>
            </w:r>
          </w:p>
        </w:tc>
        <w:tc>
          <w:tcPr>
            <w:tcW w:w="978" w:type="dxa"/>
            <w:noWrap w:val="0"/>
            <w:vAlign w:val="center"/>
          </w:tcPr>
          <w:p w14:paraId="1B1EE3E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风险管理机构必须参与人员</w:t>
            </w:r>
          </w:p>
        </w:tc>
        <w:tc>
          <w:tcPr>
            <w:tcW w:w="3099" w:type="dxa"/>
            <w:noWrap w:val="0"/>
            <w:vAlign w:val="center"/>
          </w:tcPr>
          <w:p w14:paraId="01189CA0">
            <w:pPr>
              <w:pStyle w:val="11"/>
              <w:widowControl w:val="0"/>
              <w:kinsoku/>
              <w:adjustRightInd/>
              <w:snapToGrid/>
              <w:spacing w:line="360" w:lineRule="auto"/>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项目负责人</w:t>
            </w:r>
          </w:p>
          <w:p w14:paraId="6507448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风险管理工程师</w:t>
            </w:r>
          </w:p>
          <w:p w14:paraId="348609E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风险管理专家</w:t>
            </w:r>
          </w:p>
        </w:tc>
        <w:tc>
          <w:tcPr>
            <w:tcW w:w="1408" w:type="dxa"/>
            <w:vMerge w:val="restart"/>
            <w:noWrap w:val="0"/>
            <w:vAlign w:val="center"/>
          </w:tcPr>
          <w:p w14:paraId="4DC3B5C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目测、针对性检测、事件调查（搜集物业记录、访问、质量问卷调查等）</w:t>
            </w:r>
          </w:p>
        </w:tc>
        <w:tc>
          <w:tcPr>
            <w:tcW w:w="1337" w:type="dxa"/>
            <w:vMerge w:val="restart"/>
            <w:noWrap w:val="0"/>
            <w:vAlign w:val="center"/>
          </w:tcPr>
          <w:p w14:paraId="3F592D12">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应急回访报告</w:t>
            </w:r>
          </w:p>
        </w:tc>
      </w:tr>
      <w:tr w14:paraId="0B9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trPr>
        <w:tc>
          <w:tcPr>
            <w:tcW w:w="1402" w:type="dxa"/>
            <w:vMerge w:val="continue"/>
            <w:noWrap w:val="0"/>
            <w:vAlign w:val="center"/>
          </w:tcPr>
          <w:p w14:paraId="0CE1B972">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10BAD80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风险管理机构酌情参与人员</w:t>
            </w:r>
          </w:p>
        </w:tc>
        <w:tc>
          <w:tcPr>
            <w:tcW w:w="3099" w:type="dxa"/>
            <w:noWrap w:val="0"/>
            <w:vAlign w:val="center"/>
          </w:tcPr>
          <w:p w14:paraId="44ABE79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检测人员</w:t>
            </w:r>
          </w:p>
        </w:tc>
        <w:tc>
          <w:tcPr>
            <w:tcW w:w="1408" w:type="dxa"/>
            <w:vMerge w:val="continue"/>
            <w:noWrap w:val="0"/>
            <w:vAlign w:val="center"/>
          </w:tcPr>
          <w:p w14:paraId="728BE14C">
            <w:pPr>
              <w:widowControl w:val="0"/>
              <w:kinsoku/>
              <w:adjustRightInd/>
              <w:snapToGrid/>
              <w:spacing w:line="360" w:lineRule="auto"/>
              <w:jc w:val="center"/>
              <w:textAlignment w:val="auto"/>
              <w:rPr>
                <w:rFonts w:ascii="仿宋" w:hAnsi="仿宋" w:eastAsia="仿宋" w:cs="仿宋"/>
                <w:color w:val="auto"/>
                <w:sz w:val="24"/>
                <w:szCs w:val="24"/>
              </w:rPr>
            </w:pPr>
          </w:p>
        </w:tc>
        <w:tc>
          <w:tcPr>
            <w:tcW w:w="1337" w:type="dxa"/>
            <w:vMerge w:val="continue"/>
            <w:noWrap w:val="0"/>
            <w:vAlign w:val="center"/>
          </w:tcPr>
          <w:p w14:paraId="53A48D8A">
            <w:pPr>
              <w:widowControl w:val="0"/>
              <w:kinsoku/>
              <w:adjustRightInd/>
              <w:snapToGrid/>
              <w:spacing w:line="360" w:lineRule="auto"/>
              <w:jc w:val="center"/>
              <w:textAlignment w:val="auto"/>
              <w:rPr>
                <w:rFonts w:ascii="仿宋" w:hAnsi="仿宋" w:eastAsia="仿宋" w:cs="仿宋"/>
                <w:color w:val="auto"/>
                <w:sz w:val="24"/>
                <w:szCs w:val="24"/>
              </w:rPr>
            </w:pPr>
          </w:p>
        </w:tc>
      </w:tr>
      <w:tr w14:paraId="4222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8" w:hRule="atLeast"/>
        </w:trPr>
        <w:tc>
          <w:tcPr>
            <w:tcW w:w="1402" w:type="dxa"/>
            <w:vMerge w:val="continue"/>
            <w:noWrap w:val="0"/>
            <w:vAlign w:val="center"/>
          </w:tcPr>
          <w:p w14:paraId="1FE1EE14">
            <w:pPr>
              <w:widowControl w:val="0"/>
              <w:kinsoku/>
              <w:adjustRightInd/>
              <w:snapToGrid/>
              <w:spacing w:line="360" w:lineRule="auto"/>
              <w:jc w:val="center"/>
              <w:textAlignment w:val="auto"/>
              <w:rPr>
                <w:rFonts w:ascii="仿宋" w:hAnsi="仿宋" w:eastAsia="仿宋" w:cs="仿宋"/>
                <w:color w:val="auto"/>
                <w:sz w:val="24"/>
                <w:szCs w:val="24"/>
              </w:rPr>
            </w:pPr>
          </w:p>
        </w:tc>
        <w:tc>
          <w:tcPr>
            <w:tcW w:w="978" w:type="dxa"/>
            <w:noWrap w:val="0"/>
            <w:vAlign w:val="center"/>
          </w:tcPr>
          <w:p w14:paraId="1DF8DCCD">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其他人员</w:t>
            </w:r>
          </w:p>
        </w:tc>
        <w:tc>
          <w:tcPr>
            <w:tcW w:w="3099" w:type="dxa"/>
            <w:noWrap w:val="0"/>
            <w:vAlign w:val="center"/>
          </w:tcPr>
          <w:p w14:paraId="3BFC259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lang w:eastAsia="zh-CN"/>
              </w:rPr>
              <w:t>住宅质量保险</w:t>
            </w:r>
            <w:r>
              <w:rPr>
                <w:rFonts w:hint="eastAsia" w:ascii="仿宋" w:hAnsi="仿宋" w:eastAsia="仿宋" w:cs="仿宋"/>
                <w:color w:val="auto"/>
                <w:sz w:val="24"/>
                <w:szCs w:val="24"/>
              </w:rPr>
              <w:t>项目经理、建设单位项目负责人、施工单位项目负责人、物业负责人、主承保公司理赔服务人员</w:t>
            </w:r>
          </w:p>
        </w:tc>
        <w:tc>
          <w:tcPr>
            <w:tcW w:w="1408" w:type="dxa"/>
            <w:vMerge w:val="continue"/>
            <w:noWrap w:val="0"/>
            <w:vAlign w:val="center"/>
          </w:tcPr>
          <w:p w14:paraId="7C88E760">
            <w:pPr>
              <w:widowControl w:val="0"/>
              <w:kinsoku/>
              <w:adjustRightInd/>
              <w:snapToGrid/>
              <w:spacing w:line="360" w:lineRule="auto"/>
              <w:jc w:val="center"/>
              <w:textAlignment w:val="auto"/>
              <w:rPr>
                <w:rFonts w:ascii="仿宋" w:hAnsi="仿宋" w:eastAsia="仿宋" w:cs="仿宋"/>
                <w:color w:val="auto"/>
                <w:sz w:val="24"/>
                <w:szCs w:val="24"/>
                <w:lang w:eastAsia="zh-CN"/>
              </w:rPr>
            </w:pPr>
          </w:p>
        </w:tc>
        <w:tc>
          <w:tcPr>
            <w:tcW w:w="1337" w:type="dxa"/>
            <w:vMerge w:val="continue"/>
            <w:noWrap w:val="0"/>
            <w:vAlign w:val="center"/>
          </w:tcPr>
          <w:p w14:paraId="42AF4236">
            <w:pPr>
              <w:widowControl w:val="0"/>
              <w:kinsoku/>
              <w:adjustRightInd/>
              <w:snapToGrid/>
              <w:spacing w:line="360" w:lineRule="auto"/>
              <w:jc w:val="center"/>
              <w:textAlignment w:val="auto"/>
              <w:rPr>
                <w:rFonts w:ascii="仿宋" w:hAnsi="仿宋" w:eastAsia="仿宋" w:cs="仿宋"/>
                <w:color w:val="auto"/>
                <w:sz w:val="24"/>
                <w:szCs w:val="24"/>
                <w:lang w:eastAsia="zh-CN"/>
              </w:rPr>
            </w:pPr>
          </w:p>
        </w:tc>
      </w:tr>
    </w:tbl>
    <w:p w14:paraId="6059181E">
      <w:pPr>
        <w:kinsoku/>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br w:type="page"/>
      </w:r>
    </w:p>
    <w:p w14:paraId="37467BA1">
      <w:pPr>
        <w:pStyle w:val="3"/>
        <w:rPr>
          <w:lang w:eastAsia="zh-CN"/>
        </w:rPr>
      </w:pPr>
      <w:r>
        <w:rPr>
          <w:rFonts w:hint="eastAsia"/>
          <w:lang w:eastAsia="zh-CN"/>
        </w:rPr>
        <w:t>附录</w:t>
      </w:r>
      <w:r>
        <w:rPr>
          <w:rFonts w:hint="eastAsia"/>
          <w:lang w:val="en-US" w:eastAsia="zh-CN"/>
        </w:rPr>
        <w:t>E</w:t>
      </w:r>
      <w:r>
        <w:rPr>
          <w:rFonts w:hint="eastAsia"/>
          <w:lang w:eastAsia="zh-CN"/>
        </w:rPr>
        <w:t>回访检查重点清单</w:t>
      </w:r>
    </w:p>
    <w:p w14:paraId="2FD0B80A">
      <w:pPr>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回访检查重点清单</w:t>
      </w:r>
    </w:p>
    <w:tbl>
      <w:tblPr>
        <w:tblStyle w:val="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5"/>
        <w:gridCol w:w="7044"/>
      </w:tblGrid>
      <w:tr w14:paraId="7CE5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65" w:type="dxa"/>
            <w:noWrap w:val="0"/>
            <w:vAlign w:val="center"/>
          </w:tcPr>
          <w:p w14:paraId="148B442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类别</w:t>
            </w:r>
          </w:p>
        </w:tc>
        <w:tc>
          <w:tcPr>
            <w:tcW w:w="7044" w:type="dxa"/>
            <w:noWrap w:val="0"/>
            <w:vAlign w:val="center"/>
          </w:tcPr>
          <w:p w14:paraId="1B1DCAD0">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检查重点</w:t>
            </w:r>
          </w:p>
        </w:tc>
      </w:tr>
      <w:tr w14:paraId="265A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9" w:hRule="atLeast"/>
          <w:jc w:val="center"/>
        </w:trPr>
        <w:tc>
          <w:tcPr>
            <w:tcW w:w="1365" w:type="dxa"/>
            <w:noWrap w:val="0"/>
            <w:vAlign w:val="center"/>
          </w:tcPr>
          <w:p w14:paraId="545AA88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信息搜集</w:t>
            </w:r>
          </w:p>
        </w:tc>
        <w:tc>
          <w:tcPr>
            <w:tcW w:w="7044" w:type="dxa"/>
            <w:noWrap w:val="0"/>
            <w:vAlign w:val="center"/>
          </w:tcPr>
          <w:p w14:paraId="6BA85A48">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）小区名称信息</w:t>
            </w:r>
          </w:p>
          <w:p w14:paraId="759CF4A3">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）单元号与施工栋号之间的关系</w:t>
            </w:r>
          </w:p>
          <w:p w14:paraId="713859D8">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）过程及竣工遗留风险的销项情况</w:t>
            </w:r>
          </w:p>
          <w:p w14:paraId="54B1FC85">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）竣工以来的物业报修完整记录</w:t>
            </w:r>
          </w:p>
          <w:p w14:paraId="324A514A">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）“预看房”存在问题清单</w:t>
            </w:r>
          </w:p>
          <w:p w14:paraId="53B63062">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）小业主告知书二维码收集的质量问卷记录</w:t>
            </w:r>
          </w:p>
        </w:tc>
      </w:tr>
      <w:tr w14:paraId="4BB9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jc w:val="center"/>
        </w:trPr>
        <w:tc>
          <w:tcPr>
            <w:tcW w:w="1365" w:type="dxa"/>
            <w:noWrap w:val="0"/>
            <w:vAlign w:val="center"/>
          </w:tcPr>
          <w:p w14:paraId="34DF02C5">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统计分析</w:t>
            </w:r>
          </w:p>
        </w:tc>
        <w:tc>
          <w:tcPr>
            <w:tcW w:w="7044" w:type="dxa"/>
            <w:noWrap w:val="0"/>
            <w:vAlign w:val="center"/>
          </w:tcPr>
          <w:p w14:paraId="09F698CC">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物业报修记录的统计分析</w:t>
            </w:r>
          </w:p>
        </w:tc>
      </w:tr>
      <w:tr w14:paraId="525A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9" w:hRule="atLeast"/>
          <w:jc w:val="center"/>
        </w:trPr>
        <w:tc>
          <w:tcPr>
            <w:tcW w:w="1365" w:type="dxa"/>
            <w:noWrap w:val="0"/>
            <w:vAlign w:val="center"/>
          </w:tcPr>
          <w:p w14:paraId="5CB53D31">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走访或调查</w:t>
            </w:r>
          </w:p>
        </w:tc>
        <w:tc>
          <w:tcPr>
            <w:tcW w:w="7044" w:type="dxa"/>
            <w:noWrap w:val="0"/>
            <w:vAlign w:val="center"/>
          </w:tcPr>
          <w:p w14:paraId="0DAAA0E2">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）实地观察发生问题的小业主户内外情况，根据情况判断原因；</w:t>
            </w:r>
          </w:p>
          <w:p w14:paraId="101D4443">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）关注小业主装修破坏结构及防水的情况；</w:t>
            </w:r>
          </w:p>
          <w:p w14:paraId="36B67EF8">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）调查小区有无重大质量舆情、突发质量事件或系统性质量风险；</w:t>
            </w:r>
          </w:p>
          <w:p w14:paraId="51D5377F">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）向物业了解整体报修及维修情况，主要的维修难点。</w:t>
            </w:r>
          </w:p>
        </w:tc>
      </w:tr>
      <w:tr w14:paraId="6A042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4" w:hRule="atLeast"/>
          <w:jc w:val="center"/>
        </w:trPr>
        <w:tc>
          <w:tcPr>
            <w:tcW w:w="1365" w:type="dxa"/>
            <w:noWrap w:val="0"/>
            <w:vAlign w:val="center"/>
          </w:tcPr>
          <w:p w14:paraId="225869A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屋面防水及渗漏</w:t>
            </w:r>
          </w:p>
        </w:tc>
        <w:tc>
          <w:tcPr>
            <w:tcW w:w="7044" w:type="dxa"/>
            <w:noWrap w:val="0"/>
            <w:vAlign w:val="center"/>
          </w:tcPr>
          <w:p w14:paraId="78615140">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）屋面卷材上翻处是否脱开</w:t>
            </w:r>
          </w:p>
          <w:p w14:paraId="2D5C047C">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）屋面卷材反光涂料老化情况</w:t>
            </w:r>
          </w:p>
          <w:p w14:paraId="0BFB7D4A">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）屋面分仓缝油膏的老化程度</w:t>
            </w:r>
          </w:p>
          <w:p w14:paraId="177F5CEA">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）屋面落水口堵塞情况</w:t>
            </w:r>
          </w:p>
          <w:p w14:paraId="2BC9C5D0">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）正置式屋面透气孔损坏情况</w:t>
            </w:r>
          </w:p>
          <w:p w14:paraId="1C874AE0">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6</w:t>
            </w:r>
            <w:r>
              <w:rPr>
                <w:rFonts w:hint="eastAsia" w:ascii="仿宋" w:hAnsi="仿宋" w:eastAsia="仿宋" w:cs="仿宋"/>
                <w:color w:val="auto"/>
                <w:sz w:val="24"/>
                <w:szCs w:val="24"/>
              </w:rPr>
              <w:t>）屋面保护层开裂情况</w:t>
            </w:r>
          </w:p>
          <w:p w14:paraId="2F7B78C2">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7</w:t>
            </w:r>
            <w:r>
              <w:rPr>
                <w:rFonts w:hint="eastAsia" w:ascii="仿宋" w:hAnsi="仿宋" w:eastAsia="仿宋" w:cs="仿宋"/>
                <w:color w:val="auto"/>
                <w:sz w:val="24"/>
                <w:szCs w:val="24"/>
              </w:rPr>
              <w:t>）屋面是否有维修痕迹</w:t>
            </w:r>
          </w:p>
          <w:p w14:paraId="3273C829">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8</w:t>
            </w:r>
            <w:r>
              <w:rPr>
                <w:rFonts w:hint="eastAsia" w:ascii="仿宋" w:hAnsi="仿宋" w:eastAsia="仿宋" w:cs="仿宋"/>
                <w:color w:val="auto"/>
                <w:sz w:val="24"/>
                <w:szCs w:val="24"/>
              </w:rPr>
              <w:t>）屋面排烟井风帽损坏情况</w:t>
            </w:r>
          </w:p>
          <w:p w14:paraId="596A0E34">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9</w:t>
            </w:r>
            <w:r>
              <w:rPr>
                <w:rFonts w:hint="eastAsia" w:ascii="仿宋" w:hAnsi="仿宋" w:eastAsia="仿宋" w:cs="仿宋"/>
                <w:color w:val="auto"/>
                <w:sz w:val="24"/>
                <w:szCs w:val="24"/>
              </w:rPr>
              <w:t>）屋面及露台是否存在渗漏情况</w:t>
            </w:r>
          </w:p>
        </w:tc>
      </w:tr>
      <w:tr w14:paraId="7E56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1365" w:type="dxa"/>
            <w:noWrap w:val="0"/>
            <w:vAlign w:val="center"/>
          </w:tcPr>
          <w:p w14:paraId="1DC206C9">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外墙面脱落</w:t>
            </w:r>
          </w:p>
        </w:tc>
        <w:tc>
          <w:tcPr>
            <w:tcW w:w="7044" w:type="dxa"/>
            <w:noWrap w:val="0"/>
            <w:vAlign w:val="center"/>
          </w:tcPr>
          <w:p w14:paraId="3FF00BCC">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）外墙开裂情况</w:t>
            </w:r>
          </w:p>
          <w:p w14:paraId="286B42BA">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外墙空鼓情况</w:t>
            </w:r>
          </w:p>
          <w:p w14:paraId="049E55B6">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）外墙是否有修补痕迹</w:t>
            </w:r>
          </w:p>
        </w:tc>
      </w:tr>
      <w:tr w14:paraId="0BE6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365" w:type="dxa"/>
            <w:noWrap w:val="0"/>
            <w:vAlign w:val="center"/>
          </w:tcPr>
          <w:p w14:paraId="764F411B">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外墙渗漏</w:t>
            </w:r>
          </w:p>
        </w:tc>
        <w:tc>
          <w:tcPr>
            <w:tcW w:w="7044" w:type="dxa"/>
            <w:noWrap w:val="0"/>
            <w:vAlign w:val="center"/>
          </w:tcPr>
          <w:p w14:paraId="21AD9EAC">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）外窗是否有渗漏痕迹</w:t>
            </w:r>
          </w:p>
          <w:p w14:paraId="6E25CB10">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）PC构件横竖向缝、对拉螺杆洞、挑脚手槽钢位置、人货梯拉结位置是否有渗漏</w:t>
            </w:r>
          </w:p>
          <w:p w14:paraId="0F2B06B8">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）外墙空调板/孔洞是否有渗漏</w:t>
            </w:r>
          </w:p>
          <w:p w14:paraId="22DB352B">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）外墙是否有修补痕迹</w:t>
            </w:r>
          </w:p>
        </w:tc>
      </w:tr>
      <w:tr w14:paraId="456F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8" w:hRule="atLeast"/>
          <w:jc w:val="center"/>
        </w:trPr>
        <w:tc>
          <w:tcPr>
            <w:tcW w:w="1365" w:type="dxa"/>
            <w:noWrap w:val="0"/>
            <w:vAlign w:val="center"/>
          </w:tcPr>
          <w:p w14:paraId="6ED993D6">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地下室渗漏</w:t>
            </w:r>
          </w:p>
        </w:tc>
        <w:tc>
          <w:tcPr>
            <w:tcW w:w="7044" w:type="dxa"/>
            <w:noWrap w:val="0"/>
            <w:vAlign w:val="center"/>
          </w:tcPr>
          <w:p w14:paraId="1FD2BCE6">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）地下室外墙、顶板、底板渗漏情况</w:t>
            </w:r>
          </w:p>
          <w:p w14:paraId="780E2592">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）地下室外墙、顶板、底板是否有开裂</w:t>
            </w:r>
          </w:p>
          <w:p w14:paraId="4A17F1BB">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）汽车坡道、非机动车坡道处是否有开裂、渗漏</w:t>
            </w:r>
          </w:p>
          <w:p w14:paraId="0C560564">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4</w:t>
            </w:r>
            <w:r>
              <w:rPr>
                <w:rFonts w:hint="eastAsia" w:ascii="仿宋" w:hAnsi="仿宋" w:eastAsia="仿宋" w:cs="仿宋"/>
                <w:color w:val="auto"/>
                <w:sz w:val="24"/>
                <w:szCs w:val="24"/>
              </w:rPr>
              <w:t>）地下室环境是否潮湿</w:t>
            </w:r>
          </w:p>
          <w:p w14:paraId="7727CAB2">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5</w:t>
            </w:r>
            <w:r>
              <w:rPr>
                <w:rFonts w:hint="eastAsia" w:ascii="仿宋" w:hAnsi="仿宋" w:eastAsia="仿宋" w:cs="仿宋"/>
                <w:color w:val="auto"/>
                <w:sz w:val="24"/>
                <w:szCs w:val="24"/>
              </w:rPr>
              <w:t>）地下室是否有大量堵漏痕迹</w:t>
            </w:r>
          </w:p>
        </w:tc>
      </w:tr>
      <w:tr w14:paraId="7ED4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1365" w:type="dxa"/>
            <w:noWrap w:val="0"/>
            <w:vAlign w:val="center"/>
          </w:tcPr>
          <w:p w14:paraId="5B64A5AE">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不均匀沉降</w:t>
            </w:r>
          </w:p>
        </w:tc>
        <w:tc>
          <w:tcPr>
            <w:tcW w:w="7044" w:type="dxa"/>
            <w:noWrap w:val="0"/>
            <w:vAlign w:val="center"/>
          </w:tcPr>
          <w:p w14:paraId="37847E68">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公共部位的应力集中位置是否有严重开裂（门窗洞口、顶层楼</w:t>
            </w:r>
          </w:p>
          <w:p w14:paraId="794250EA">
            <w:pPr>
              <w:pStyle w:val="11"/>
              <w:widowControl w:val="0"/>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梯间侧墙、屋面女儿墙、东西山墙、室内填充墙出现45度斜裂缝）</w:t>
            </w:r>
          </w:p>
        </w:tc>
      </w:tr>
      <w:tr w14:paraId="70AA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jc w:val="center"/>
        </w:trPr>
        <w:tc>
          <w:tcPr>
            <w:tcW w:w="1365" w:type="dxa"/>
            <w:noWrap w:val="0"/>
            <w:vAlign w:val="center"/>
          </w:tcPr>
          <w:p w14:paraId="17C0E2A8">
            <w:pPr>
              <w:pStyle w:val="11"/>
              <w:widowControl w:val="0"/>
              <w:kinsoku/>
              <w:adjustRightInd/>
              <w:snapToGrid/>
              <w:spacing w:line="360" w:lineRule="auto"/>
              <w:jc w:val="center"/>
              <w:textAlignment w:val="auto"/>
              <w:rPr>
                <w:rFonts w:ascii="仿宋" w:hAnsi="仿宋" w:eastAsia="仿宋" w:cs="仿宋"/>
                <w:color w:val="auto"/>
                <w:sz w:val="24"/>
                <w:szCs w:val="24"/>
              </w:rPr>
            </w:pPr>
            <w:r>
              <w:rPr>
                <w:rFonts w:hint="eastAsia" w:ascii="仿宋" w:hAnsi="仿宋" w:eastAsia="仿宋" w:cs="仿宋"/>
                <w:color w:val="auto"/>
                <w:sz w:val="24"/>
                <w:szCs w:val="24"/>
              </w:rPr>
              <w:t>装饰装修</w:t>
            </w:r>
          </w:p>
        </w:tc>
        <w:tc>
          <w:tcPr>
            <w:tcW w:w="7044" w:type="dxa"/>
            <w:noWrap w:val="0"/>
            <w:vAlign w:val="top"/>
          </w:tcPr>
          <w:p w14:paraId="0C8399C0">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1</w:t>
            </w:r>
            <w:r>
              <w:rPr>
                <w:rFonts w:hint="eastAsia" w:ascii="仿宋" w:hAnsi="仿宋" w:eastAsia="仿宋" w:cs="仿宋"/>
                <w:color w:val="auto"/>
                <w:sz w:val="24"/>
                <w:szCs w:val="24"/>
              </w:rPr>
              <w:t>）卫生间与房间干湿交接处防渗漏处理工程</w:t>
            </w:r>
          </w:p>
          <w:p w14:paraId="1DCCB655">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2</w:t>
            </w:r>
            <w:r>
              <w:rPr>
                <w:rFonts w:hint="eastAsia" w:ascii="仿宋" w:hAnsi="仿宋" w:eastAsia="仿宋" w:cs="仿宋"/>
                <w:color w:val="auto"/>
                <w:sz w:val="24"/>
                <w:szCs w:val="24"/>
              </w:rPr>
              <w:t>）水电煤卫及装修中发生概率高的质量通病</w:t>
            </w:r>
          </w:p>
          <w:p w14:paraId="4C3973C9">
            <w:pPr>
              <w:pStyle w:val="11"/>
              <w:widowControl w:val="0"/>
              <w:tabs>
                <w:tab w:val="left" w:pos="958"/>
              </w:tabs>
              <w:kinsoku/>
              <w:adjustRightInd/>
              <w:snapToGrid/>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3</w:t>
            </w:r>
            <w:r>
              <w:rPr>
                <w:rFonts w:hint="eastAsia" w:ascii="仿宋" w:hAnsi="仿宋" w:eastAsia="仿宋" w:cs="仿宋"/>
                <w:color w:val="auto"/>
                <w:sz w:val="24"/>
                <w:szCs w:val="24"/>
              </w:rPr>
              <w:t>）公共区域的地砖、墙砖损坏或脱落</w:t>
            </w:r>
          </w:p>
        </w:tc>
      </w:tr>
    </w:tbl>
    <w:p w14:paraId="57281B35">
      <w:pPr>
        <w:pStyle w:val="2"/>
        <w:rPr>
          <w:rFonts w:ascii="仿宋" w:hAnsi="仿宋" w:eastAsia="仿宋" w:cs="仿宋"/>
          <w:color w:val="auto"/>
          <w:lang w:eastAsia="zh-CN"/>
        </w:rPr>
      </w:pPr>
    </w:p>
    <w:p w14:paraId="668F950D"/>
    <w:sectPr>
      <w:headerReference r:id="rId10" w:type="default"/>
      <w:footerReference r:id="rId11" w:type="default"/>
      <w:pgSz w:w="11900" w:h="16820"/>
      <w:pgMar w:top="1540" w:right="1560" w:bottom="1580" w:left="1680" w:header="0" w:footer="1134" w:gutter="0"/>
      <w:pgNumType w:start="4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074DF">
    <w:pPr>
      <w:pStyle w:val="5"/>
      <w:spacing w:line="14" w:lineRule="auto"/>
      <w:ind w:firstLine="240"/>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FB15">
    <w:pPr>
      <w:pStyle w:val="5"/>
      <w:spacing w:line="14" w:lineRule="auto"/>
      <w:ind w:firstLine="240"/>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B8FEC">
    <w:pPr>
      <w:pStyle w:val="5"/>
      <w:spacing w:line="14" w:lineRule="auto"/>
      <w:ind w:firstLine="240"/>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95B9">
    <w:pPr>
      <w:pStyle w:val="5"/>
      <w:spacing w:line="14" w:lineRule="auto"/>
      <w:ind w:firstLine="240"/>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18A1F7">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518A1F7">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0CE50">
    <w:pPr>
      <w:pStyle w:val="5"/>
      <w:spacing w:line="14" w:lineRule="auto"/>
      <w:ind w:firstLine="4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D2A560">
                          <w:pPr>
                            <w:pStyle w:val="6"/>
                            <w:rPr>
                              <w:rFonts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14:paraId="17D2A560">
                    <w:pPr>
                      <w:pStyle w:val="6"/>
                      <w:rPr>
                        <w:rFonts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A2D54">
    <w:pPr>
      <w:pStyle w:val="5"/>
      <w:spacing w:line="14" w:lineRule="auto"/>
      <w:ind w:firstLine="240"/>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A164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F2A164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B7F9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2205E">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B0A23">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A0D21"/>
    <w:multiLevelType w:val="singleLevel"/>
    <w:tmpl w:val="806A0D21"/>
    <w:lvl w:ilvl="0" w:tentative="0">
      <w:start w:val="1"/>
      <w:numFmt w:val="decimal"/>
      <w:lvlText w:val="(%1)"/>
      <w:lvlJc w:val="left"/>
      <w:pPr>
        <w:ind w:left="425" w:hanging="425"/>
      </w:pPr>
      <w:rPr>
        <w:rFonts w:hint="default"/>
      </w:rPr>
    </w:lvl>
  </w:abstractNum>
  <w:abstractNum w:abstractNumId="1">
    <w:nsid w:val="B2A633ED"/>
    <w:multiLevelType w:val="singleLevel"/>
    <w:tmpl w:val="B2A633ED"/>
    <w:lvl w:ilvl="0" w:tentative="0">
      <w:start w:val="1"/>
      <w:numFmt w:val="decimal"/>
      <w:lvlText w:val="(%1)"/>
      <w:lvlJc w:val="left"/>
      <w:pPr>
        <w:ind w:left="425" w:hanging="425"/>
      </w:pPr>
      <w:rPr>
        <w:rFonts w:hint="default"/>
      </w:rPr>
    </w:lvl>
  </w:abstractNum>
  <w:abstractNum w:abstractNumId="2">
    <w:nsid w:val="D5E64686"/>
    <w:multiLevelType w:val="singleLevel"/>
    <w:tmpl w:val="D5E64686"/>
    <w:lvl w:ilvl="0" w:tentative="0">
      <w:start w:val="1"/>
      <w:numFmt w:val="decimal"/>
      <w:lvlText w:val="(%1)"/>
      <w:lvlJc w:val="left"/>
      <w:pPr>
        <w:ind w:left="425" w:hanging="425"/>
      </w:pPr>
      <w:rPr>
        <w:rFonts w:hint="default"/>
      </w:rPr>
    </w:lvl>
  </w:abstractNum>
  <w:abstractNum w:abstractNumId="3">
    <w:nsid w:val="DA929730"/>
    <w:multiLevelType w:val="singleLevel"/>
    <w:tmpl w:val="DA929730"/>
    <w:lvl w:ilvl="0" w:tentative="0">
      <w:start w:val="1"/>
      <w:numFmt w:val="decimal"/>
      <w:lvlText w:val="(%1)"/>
      <w:lvlJc w:val="left"/>
      <w:pPr>
        <w:ind w:left="425" w:hanging="425"/>
      </w:pPr>
      <w:rPr>
        <w:rFonts w:hint="default"/>
      </w:rPr>
    </w:lvl>
  </w:abstractNum>
  <w:abstractNum w:abstractNumId="4">
    <w:nsid w:val="0412CAF2"/>
    <w:multiLevelType w:val="singleLevel"/>
    <w:tmpl w:val="0412CAF2"/>
    <w:lvl w:ilvl="0" w:tentative="0">
      <w:start w:val="1"/>
      <w:numFmt w:val="decimal"/>
      <w:lvlText w:val="(%1)"/>
      <w:lvlJc w:val="left"/>
      <w:pPr>
        <w:ind w:left="425" w:hanging="425"/>
      </w:pPr>
      <w:rPr>
        <w:rFonts w:hint="default"/>
      </w:rPr>
    </w:lvl>
  </w:abstractNum>
  <w:abstractNum w:abstractNumId="5">
    <w:nsid w:val="09856E1C"/>
    <w:multiLevelType w:val="singleLevel"/>
    <w:tmpl w:val="09856E1C"/>
    <w:lvl w:ilvl="0" w:tentative="0">
      <w:start w:val="1"/>
      <w:numFmt w:val="decimal"/>
      <w:lvlText w:val="(%1)"/>
      <w:lvlJc w:val="left"/>
      <w:pPr>
        <w:ind w:left="425" w:hanging="425"/>
      </w:pPr>
      <w:rPr>
        <w:rFonts w:hint="default"/>
      </w:rPr>
    </w:lvl>
  </w:abstractNum>
  <w:abstractNum w:abstractNumId="6">
    <w:nsid w:val="0AB47006"/>
    <w:multiLevelType w:val="singleLevel"/>
    <w:tmpl w:val="0AB47006"/>
    <w:lvl w:ilvl="0" w:tentative="0">
      <w:start w:val="1"/>
      <w:numFmt w:val="decimal"/>
      <w:lvlText w:val="(%1)"/>
      <w:lvlJc w:val="left"/>
      <w:pPr>
        <w:ind w:left="425" w:hanging="425"/>
      </w:pPr>
      <w:rPr>
        <w:rFonts w:hint="default"/>
      </w:rPr>
    </w:lvl>
  </w:abstractNum>
  <w:abstractNum w:abstractNumId="7">
    <w:nsid w:val="0B785607"/>
    <w:multiLevelType w:val="singleLevel"/>
    <w:tmpl w:val="0B785607"/>
    <w:lvl w:ilvl="0" w:tentative="0">
      <w:start w:val="1"/>
      <w:numFmt w:val="decimal"/>
      <w:lvlText w:val="(%1)"/>
      <w:lvlJc w:val="left"/>
      <w:pPr>
        <w:ind w:left="425" w:hanging="425"/>
      </w:pPr>
      <w:rPr>
        <w:rFonts w:hint="default"/>
      </w:rPr>
    </w:lvl>
  </w:abstractNum>
  <w:abstractNum w:abstractNumId="8">
    <w:nsid w:val="0C6544DC"/>
    <w:multiLevelType w:val="singleLevel"/>
    <w:tmpl w:val="0C6544DC"/>
    <w:lvl w:ilvl="0" w:tentative="0">
      <w:start w:val="1"/>
      <w:numFmt w:val="decimal"/>
      <w:lvlText w:val="(%1)"/>
      <w:lvlJc w:val="left"/>
      <w:pPr>
        <w:ind w:left="425" w:hanging="425"/>
      </w:pPr>
      <w:rPr>
        <w:rFonts w:hint="default"/>
      </w:rPr>
    </w:lvl>
  </w:abstractNum>
  <w:abstractNum w:abstractNumId="9">
    <w:nsid w:val="168CA35D"/>
    <w:multiLevelType w:val="singleLevel"/>
    <w:tmpl w:val="168CA35D"/>
    <w:lvl w:ilvl="0" w:tentative="0">
      <w:start w:val="1"/>
      <w:numFmt w:val="decimal"/>
      <w:lvlText w:val="(%1)"/>
      <w:lvlJc w:val="left"/>
      <w:pPr>
        <w:ind w:left="425" w:hanging="425"/>
      </w:pPr>
      <w:rPr>
        <w:rFonts w:hint="default"/>
      </w:rPr>
    </w:lvl>
  </w:abstractNum>
  <w:abstractNum w:abstractNumId="10">
    <w:nsid w:val="315DB104"/>
    <w:multiLevelType w:val="singleLevel"/>
    <w:tmpl w:val="315DB104"/>
    <w:lvl w:ilvl="0" w:tentative="0">
      <w:start w:val="1"/>
      <w:numFmt w:val="decimal"/>
      <w:lvlText w:val="(%1)"/>
      <w:lvlJc w:val="left"/>
      <w:pPr>
        <w:ind w:left="425" w:hanging="425"/>
      </w:pPr>
      <w:rPr>
        <w:rFonts w:hint="default"/>
      </w:rPr>
    </w:lvl>
  </w:abstractNum>
  <w:abstractNum w:abstractNumId="11">
    <w:nsid w:val="4B066789"/>
    <w:multiLevelType w:val="singleLevel"/>
    <w:tmpl w:val="4B066789"/>
    <w:lvl w:ilvl="0" w:tentative="0">
      <w:start w:val="1"/>
      <w:numFmt w:val="decimal"/>
      <w:lvlText w:val="(%1)"/>
      <w:lvlJc w:val="left"/>
      <w:pPr>
        <w:ind w:left="425" w:hanging="425"/>
      </w:pPr>
      <w:rPr>
        <w:rFonts w:hint="default"/>
      </w:rPr>
    </w:lvl>
  </w:abstractNum>
  <w:abstractNum w:abstractNumId="12">
    <w:nsid w:val="4FBEB13C"/>
    <w:multiLevelType w:val="singleLevel"/>
    <w:tmpl w:val="4FBEB13C"/>
    <w:lvl w:ilvl="0" w:tentative="0">
      <w:start w:val="1"/>
      <w:numFmt w:val="decimal"/>
      <w:lvlText w:val="(%1)"/>
      <w:lvlJc w:val="left"/>
      <w:pPr>
        <w:ind w:left="425" w:hanging="425"/>
      </w:pPr>
      <w:rPr>
        <w:rFonts w:hint="default"/>
      </w:rPr>
    </w:lvl>
  </w:abstractNum>
  <w:abstractNum w:abstractNumId="13">
    <w:nsid w:val="57135A6D"/>
    <w:multiLevelType w:val="singleLevel"/>
    <w:tmpl w:val="57135A6D"/>
    <w:lvl w:ilvl="0" w:tentative="0">
      <w:start w:val="1"/>
      <w:numFmt w:val="decimal"/>
      <w:lvlText w:val="(%1)"/>
      <w:lvlJc w:val="left"/>
      <w:pPr>
        <w:ind w:left="425" w:hanging="425"/>
      </w:pPr>
      <w:rPr>
        <w:rFonts w:hint="default"/>
      </w:rPr>
    </w:lvl>
  </w:abstractNum>
  <w:abstractNum w:abstractNumId="14">
    <w:nsid w:val="5DF4C4D0"/>
    <w:multiLevelType w:val="singleLevel"/>
    <w:tmpl w:val="5DF4C4D0"/>
    <w:lvl w:ilvl="0" w:tentative="0">
      <w:start w:val="1"/>
      <w:numFmt w:val="decimal"/>
      <w:lvlText w:val="(%1)"/>
      <w:lvlJc w:val="left"/>
      <w:pPr>
        <w:ind w:left="425" w:hanging="425"/>
      </w:pPr>
      <w:rPr>
        <w:rFonts w:hint="default"/>
      </w:rPr>
    </w:lvl>
  </w:abstractNum>
  <w:abstractNum w:abstractNumId="15">
    <w:nsid w:val="60E60F95"/>
    <w:multiLevelType w:val="singleLevel"/>
    <w:tmpl w:val="60E60F95"/>
    <w:lvl w:ilvl="0" w:tentative="0">
      <w:start w:val="1"/>
      <w:numFmt w:val="decimal"/>
      <w:lvlText w:val="(%1)"/>
      <w:lvlJc w:val="left"/>
      <w:pPr>
        <w:ind w:left="425" w:hanging="425"/>
      </w:pPr>
      <w:rPr>
        <w:rFonts w:hint="default"/>
      </w:rPr>
    </w:lvl>
  </w:abstractNum>
  <w:abstractNum w:abstractNumId="16">
    <w:nsid w:val="62AEF6E3"/>
    <w:multiLevelType w:val="singleLevel"/>
    <w:tmpl w:val="62AEF6E3"/>
    <w:lvl w:ilvl="0" w:tentative="0">
      <w:start w:val="1"/>
      <w:numFmt w:val="decimal"/>
      <w:lvlText w:val="(%1)"/>
      <w:lvlJc w:val="left"/>
      <w:pPr>
        <w:ind w:left="425" w:hanging="425"/>
      </w:pPr>
      <w:rPr>
        <w:rFonts w:hint="default"/>
      </w:rPr>
    </w:lvl>
  </w:abstractNum>
  <w:num w:numId="1">
    <w:abstractNumId w:val="0"/>
  </w:num>
  <w:num w:numId="2">
    <w:abstractNumId w:val="9"/>
  </w:num>
  <w:num w:numId="3">
    <w:abstractNumId w:val="10"/>
  </w:num>
  <w:num w:numId="4">
    <w:abstractNumId w:val="4"/>
  </w:num>
  <w:num w:numId="5">
    <w:abstractNumId w:val="12"/>
  </w:num>
  <w:num w:numId="6">
    <w:abstractNumId w:val="7"/>
  </w:num>
  <w:num w:numId="7">
    <w:abstractNumId w:val="1"/>
  </w:num>
  <w:num w:numId="8">
    <w:abstractNumId w:val="8"/>
  </w:num>
  <w:num w:numId="9">
    <w:abstractNumId w:val="5"/>
  </w:num>
  <w:num w:numId="10">
    <w:abstractNumId w:val="11"/>
  </w:num>
  <w:num w:numId="11">
    <w:abstractNumId w:val="2"/>
  </w:num>
  <w:num w:numId="12">
    <w:abstractNumId w:val="3"/>
  </w:num>
  <w:num w:numId="13">
    <w:abstractNumId w:val="15"/>
  </w:num>
  <w:num w:numId="14">
    <w:abstractNumId w:val="16"/>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GI1NzZmYWU5MWMxMjY5ZWNjZWJhYWM2NjcxNWYifQ=="/>
  </w:docVars>
  <w:rsids>
    <w:rsidRoot w:val="00000000"/>
    <w:rsid w:val="0F362AF4"/>
    <w:rsid w:val="337013D0"/>
    <w:rsid w:val="4EB30E87"/>
    <w:rsid w:val="6BA60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w:basedOn w:val="1"/>
    <w:qFormat/>
    <w:uiPriority w:val="0"/>
    <w:pPr>
      <w:spacing w:line="570" w:lineRule="exact"/>
      <w:ind w:firstLine="420" w:firstLineChars="200"/>
    </w:pPr>
    <w:rPr>
      <w:rFonts w:ascii="仿宋" w:hAnsi="仿宋" w:eastAsia="仿宋" w:cs="仿宋"/>
      <w:sz w:val="32"/>
      <w:szCs w:val="31"/>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List Paragraph"/>
    <w:basedOn w:val="1"/>
    <w:qFormat/>
    <w:uiPriority w:val="1"/>
    <w:pPr>
      <w:widowControl w:val="0"/>
      <w:tabs>
        <w:tab w:val="left" w:pos="1415"/>
      </w:tabs>
      <w:kinsoku/>
      <w:adjustRightInd/>
      <w:snapToGrid/>
      <w:spacing w:line="360" w:lineRule="auto"/>
      <w:ind w:firstLine="480" w:firstLineChars="200"/>
      <w:textAlignment w:val="auto"/>
    </w:pPr>
    <w:rPr>
      <w:rFonts w:ascii="Arial Unicode MS" w:hAnsi="Arial Unicode MS" w:eastAsia="Arial Unicode MS" w:cs="Arial Unicode MS"/>
      <w:lang w:val="zh-CN" w:eastAsia="zh-CN" w:bidi="zh-CN"/>
    </w:rPr>
  </w:style>
  <w:style w:type="paragraph" w:customStyle="1" w:styleId="11">
    <w:name w:val="Table Paragraph"/>
    <w:basedOn w:val="1"/>
    <w:qFormat/>
    <w:uiPriority w:val="1"/>
    <w:rPr>
      <w:rFonts w:ascii="Arial Unicode MS" w:hAnsi="Arial Unicode MS" w:eastAsia="Arial Unicode MS" w:cs="Arial Unicode MS"/>
      <w:lang w:val="zh-CN" w:eastAsia="zh-CN" w:bidi="zh-CN"/>
    </w:rPr>
  </w:style>
  <w:style w:type="paragraph" w:customStyle="1" w:styleId="12">
    <w:name w:val="Table Text"/>
    <w:basedOn w:val="1"/>
    <w:semiHidden/>
    <w:qFormat/>
    <w:uiPriority w:val="0"/>
    <w:rPr>
      <w:rFonts w:ascii="仿宋" w:hAnsi="仿宋" w:eastAsia="仿宋" w:cs="仿宋"/>
      <w:sz w:val="31"/>
      <w:szCs w:val="31"/>
    </w:rPr>
  </w:style>
  <w:style w:type="table" w:customStyle="1" w:styleId="13">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8749</Words>
  <Characters>10087</Characters>
  <Lines>0</Lines>
  <Paragraphs>0</Paragraphs>
  <TotalTime>1</TotalTime>
  <ScaleCrop>false</ScaleCrop>
  <LinksUpToDate>false</LinksUpToDate>
  <CharactersWithSpaces>10107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2024-10-21T07:40:00Z</dcterms:created>
  <dc:creator>admin</dc:creator>
  <cp:lastModifiedBy>WPS_1642059575</cp:lastModifiedBy>
  <dcterms:modified xsi:type="dcterms:W3CDTF">2024-10-21T08:59:30Z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EB658517CB884CC5ABA5F5F8ACE55D71</vt:lpwstr>
  </property>
</Properties>
</file>