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617C0">
      <w:pPr>
        <w:widowControl w:val="0"/>
        <w:kinsoku/>
        <w:spacing w:line="240" w:lineRule="auto"/>
        <w:jc w:val="center"/>
        <w:outlineLvl w:val="0"/>
        <w:rPr>
          <w:rFonts w:hint="eastAsia" w:ascii="方正小标宋_GBK" w:hAnsi="方正小标宋_GBK" w:eastAsia="方正小标宋_GBK" w:cs="方正小标宋_GBK"/>
          <w:color w:val="auto"/>
          <w:spacing w:val="34"/>
          <w:sz w:val="44"/>
          <w:szCs w:val="44"/>
          <w:lang w:eastAsia="zh-CN"/>
        </w:rPr>
      </w:pPr>
      <w:r>
        <w:rPr>
          <w:rFonts w:hint="eastAsia" w:ascii="方正小标宋_GBK" w:hAnsi="方正小标宋_GBK" w:eastAsia="方正小标宋_GBK" w:cs="方正小标宋_GBK"/>
          <w:color w:val="auto"/>
          <w:spacing w:val="36"/>
          <w:sz w:val="44"/>
          <w:szCs w:val="44"/>
          <w:lang w:eastAsia="zh-CN"/>
        </w:rPr>
        <w:t>杭州市工程质量</w:t>
      </w:r>
      <w:r>
        <w:rPr>
          <w:rFonts w:hint="eastAsia" w:ascii="方正小标宋_GBK" w:hAnsi="方正小标宋_GBK" w:eastAsia="方正小标宋_GBK" w:cs="方正小标宋_GBK"/>
          <w:color w:val="auto"/>
          <w:spacing w:val="34"/>
          <w:sz w:val="44"/>
          <w:szCs w:val="44"/>
          <w:lang w:eastAsia="zh-CN"/>
        </w:rPr>
        <w:t>风险管理机构</w:t>
      </w:r>
    </w:p>
    <w:p w14:paraId="6D7C3B40">
      <w:pPr>
        <w:widowControl w:val="0"/>
        <w:kinsoku/>
        <w:spacing w:line="240" w:lineRule="auto"/>
        <w:jc w:val="center"/>
        <w:outlineLvl w:val="0"/>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pacing w:val="34"/>
          <w:sz w:val="44"/>
          <w:szCs w:val="44"/>
          <w:lang w:eastAsia="zh-CN"/>
        </w:rPr>
        <w:t>管理办法</w:t>
      </w:r>
    </w:p>
    <w:p w14:paraId="1BBAE7F7">
      <w:pPr>
        <w:widowControl w:val="0"/>
        <w:kinsoku/>
        <w:spacing w:line="360" w:lineRule="auto"/>
        <w:jc w:val="center"/>
        <w:rPr>
          <w:rFonts w:hint="default"/>
          <w:color w:val="auto"/>
          <w:lang w:val="en-US" w:eastAsia="zh-CN"/>
        </w:rPr>
      </w:pPr>
      <w:r>
        <w:rPr>
          <w:rFonts w:hint="eastAsia"/>
          <w:color w:val="auto"/>
          <w:lang w:eastAsia="zh-CN"/>
        </w:rPr>
        <w:t>（</w:t>
      </w:r>
      <w:r>
        <w:rPr>
          <w:rFonts w:hint="eastAsia"/>
          <w:color w:val="auto"/>
          <w:lang w:val="en-US" w:eastAsia="zh-CN"/>
        </w:rPr>
        <w:t>2024版）</w:t>
      </w:r>
    </w:p>
    <w:p w14:paraId="6863F901">
      <w:pPr>
        <w:pStyle w:val="3"/>
        <w:spacing w:line="240" w:lineRule="auto"/>
        <w:jc w:val="center"/>
        <w:rPr>
          <w:lang w:eastAsia="zh-CN"/>
        </w:rPr>
      </w:pPr>
      <w:r>
        <w:rPr>
          <w:rFonts w:hint="eastAsia"/>
          <w:lang w:eastAsia="zh-CN"/>
        </w:rPr>
        <w:t>第一章 总则</w:t>
      </w:r>
      <w:bookmarkStart w:id="4" w:name="_GoBack"/>
      <w:bookmarkEnd w:id="4"/>
    </w:p>
    <w:p w14:paraId="3F5404A2">
      <w:pPr>
        <w:pStyle w:val="6"/>
        <w:widowControl w:val="0"/>
        <w:kinsoku/>
        <w:spacing w:line="360" w:lineRule="auto"/>
        <w:ind w:left="5" w:right="71" w:firstLine="651"/>
        <w:jc w:val="both"/>
        <w:rPr>
          <w:color w:val="auto"/>
          <w:lang w:eastAsia="zh-CN"/>
        </w:rPr>
      </w:pPr>
      <w:r>
        <w:rPr>
          <w:b/>
          <w:bCs/>
          <w:color w:val="auto"/>
          <w:spacing w:val="2"/>
          <w:lang w:eastAsia="zh-CN"/>
        </w:rPr>
        <w:t>第一条</w:t>
      </w:r>
      <w:r>
        <w:rPr>
          <w:rFonts w:hint="eastAsia"/>
          <w:b/>
          <w:bCs/>
          <w:color w:val="auto"/>
          <w:spacing w:val="2"/>
          <w:lang w:eastAsia="zh-CN"/>
        </w:rPr>
        <w:t xml:space="preserve"> </w:t>
      </w:r>
      <w:r>
        <w:rPr>
          <w:rFonts w:hint="eastAsia"/>
          <w:color w:val="auto"/>
          <w:spacing w:val="3"/>
          <w:lang w:eastAsia="zh-CN"/>
        </w:rPr>
        <w:t>为加强住宅工程质量风险管理，提升住宅工程质量水平，保障人民群众的切身利益，根据《浙江省人民政府办公厅关于完善质量保障体系提升建筑工程品质的实施意见》（浙政办发〔2020〕85号）、《浙江省住房和城乡建设厅关于落实建设单位工程质量首要责任的实施意见》（浙建〔2021〕15号）、《浙江省人民政府办公厅关于推动浙江建筑业改革创新高质量发展的实施意见》(浙政办发〔2021〕19号)、《杭州市人民政府办公厅关于促进我市建筑业高质量发展的实施意见》（杭政办函〔2022〕11号）、《杭州市住宅工程质量潜在缺陷保险试点实施办法》（杭建审改办</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2023</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4号）、《关于进一步做好住宅工程质量潜在缺陷保险试点工作的补充通知》</w:t>
      </w:r>
      <w:r>
        <w:rPr>
          <w:rFonts w:hint="eastAsia"/>
          <w:color w:val="auto"/>
          <w:spacing w:val="3"/>
          <w:lang w:eastAsia="zh-CN"/>
        </w:rPr>
        <w:t>（杭建审改办</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2024</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2号）</w:t>
      </w:r>
      <w:r>
        <w:rPr>
          <w:rFonts w:hint="eastAsia"/>
          <w:color w:val="auto"/>
          <w:spacing w:val="3"/>
          <w:lang w:eastAsia="zh-CN"/>
        </w:rPr>
        <w:t>等文件有关精神，制定</w:t>
      </w:r>
      <w:r>
        <w:rPr>
          <w:color w:val="auto"/>
          <w:spacing w:val="2"/>
          <w:lang w:eastAsia="zh-CN"/>
        </w:rPr>
        <w:t>本办法。</w:t>
      </w:r>
    </w:p>
    <w:p w14:paraId="6F5210E2">
      <w:pPr>
        <w:pStyle w:val="6"/>
        <w:widowControl w:val="0"/>
        <w:kinsoku/>
        <w:spacing w:line="360" w:lineRule="auto"/>
        <w:ind w:left="3" w:firstLine="651"/>
        <w:rPr>
          <w:color w:val="auto"/>
          <w:lang w:eastAsia="zh-CN"/>
        </w:rPr>
      </w:pPr>
      <w:r>
        <w:rPr>
          <w:b/>
          <w:bCs/>
          <w:color w:val="auto"/>
          <w:spacing w:val="2"/>
          <w:lang w:eastAsia="zh-CN"/>
        </w:rPr>
        <w:t>第二条</w:t>
      </w:r>
      <w:r>
        <w:rPr>
          <w:rFonts w:hint="eastAsia"/>
          <w:b/>
          <w:bCs/>
          <w:color w:val="auto"/>
          <w:spacing w:val="2"/>
          <w:lang w:eastAsia="zh-CN"/>
        </w:rPr>
        <w:t xml:space="preserve"> </w:t>
      </w:r>
      <w:r>
        <w:rPr>
          <w:color w:val="auto"/>
          <w:spacing w:val="2"/>
          <w:lang w:eastAsia="zh-CN"/>
        </w:rPr>
        <w:t>本办法所称的</w:t>
      </w:r>
      <w:r>
        <w:rPr>
          <w:rFonts w:hint="eastAsia"/>
          <w:color w:val="auto"/>
          <w:spacing w:val="2"/>
          <w:lang w:eastAsia="zh-CN"/>
        </w:rPr>
        <w:t>工程</w:t>
      </w:r>
      <w:r>
        <w:rPr>
          <w:color w:val="auto"/>
          <w:spacing w:val="2"/>
          <w:lang w:eastAsia="zh-CN"/>
        </w:rPr>
        <w:t>质量风险管理机构（以下简称</w:t>
      </w:r>
      <w:r>
        <w:rPr>
          <w:rFonts w:hint="eastAsia"/>
          <w:color w:val="auto"/>
          <w:lang w:eastAsia="zh-CN"/>
        </w:rPr>
        <w:t>风险管理机构</w:t>
      </w:r>
      <w:r>
        <w:rPr>
          <w:color w:val="auto"/>
          <w:spacing w:val="-10"/>
          <w:lang w:eastAsia="zh-CN"/>
        </w:rPr>
        <w:t>），</w:t>
      </w:r>
      <w:r>
        <w:rPr>
          <w:color w:val="auto"/>
          <w:spacing w:val="8"/>
          <w:lang w:eastAsia="zh-CN"/>
        </w:rPr>
        <w:t>是指受</w:t>
      </w:r>
      <w:r>
        <w:rPr>
          <w:rFonts w:hint="eastAsia"/>
          <w:color w:val="auto"/>
          <w:spacing w:val="8"/>
          <w:lang w:eastAsia="zh-CN"/>
        </w:rPr>
        <w:t>保险</w:t>
      </w:r>
      <w:r>
        <w:rPr>
          <w:color w:val="auto"/>
          <w:spacing w:val="8"/>
          <w:lang w:eastAsia="zh-CN"/>
        </w:rPr>
        <w:t>公司委托，对</w:t>
      </w:r>
      <w:r>
        <w:rPr>
          <w:rFonts w:hint="eastAsia"/>
          <w:color w:val="auto"/>
          <w:spacing w:val="8"/>
          <w:lang w:eastAsia="zh-CN"/>
        </w:rPr>
        <w:t>保险标的的质量潜在缺陷风险</w:t>
      </w:r>
      <w:r>
        <w:rPr>
          <w:color w:val="auto"/>
          <w:spacing w:val="-2"/>
          <w:lang w:eastAsia="zh-CN"/>
        </w:rPr>
        <w:t>实施</w:t>
      </w:r>
      <w:r>
        <w:rPr>
          <w:rFonts w:hint="eastAsia"/>
          <w:color w:val="auto"/>
          <w:spacing w:val="-2"/>
          <w:lang w:eastAsia="zh-CN"/>
        </w:rPr>
        <w:t>辨识</w:t>
      </w:r>
      <w:r>
        <w:rPr>
          <w:color w:val="auto"/>
          <w:spacing w:val="-2"/>
          <w:lang w:eastAsia="zh-CN"/>
        </w:rPr>
        <w:t>、</w:t>
      </w:r>
      <w:r>
        <w:rPr>
          <w:rFonts w:hint="eastAsia"/>
          <w:color w:val="auto"/>
          <w:spacing w:val="-2"/>
          <w:lang w:eastAsia="zh-CN"/>
        </w:rPr>
        <w:t>分析、</w:t>
      </w:r>
      <w:r>
        <w:rPr>
          <w:color w:val="auto"/>
          <w:spacing w:val="-2"/>
          <w:lang w:eastAsia="zh-CN"/>
        </w:rPr>
        <w:t>评估、报告、提出处理建议，</w:t>
      </w:r>
      <w:r>
        <w:rPr>
          <w:color w:val="auto"/>
          <w:spacing w:val="5"/>
          <w:lang w:eastAsia="zh-CN"/>
        </w:rPr>
        <w:t>并最终对</w:t>
      </w:r>
      <w:r>
        <w:rPr>
          <w:rFonts w:hint="eastAsia"/>
          <w:color w:val="auto"/>
          <w:spacing w:val="5"/>
          <w:lang w:eastAsia="zh-CN"/>
        </w:rPr>
        <w:t>保险</w:t>
      </w:r>
      <w:r>
        <w:rPr>
          <w:color w:val="auto"/>
          <w:spacing w:val="5"/>
          <w:lang w:eastAsia="zh-CN"/>
        </w:rPr>
        <w:t>公司承担</w:t>
      </w:r>
      <w:r>
        <w:rPr>
          <w:rFonts w:hint="eastAsia"/>
          <w:color w:val="auto"/>
          <w:spacing w:val="5"/>
          <w:lang w:eastAsia="zh-CN"/>
        </w:rPr>
        <w:t>风险管理</w:t>
      </w:r>
      <w:r>
        <w:rPr>
          <w:color w:val="auto"/>
          <w:spacing w:val="5"/>
          <w:lang w:eastAsia="zh-CN"/>
        </w:rPr>
        <w:t>合同责任的机构。</w:t>
      </w:r>
    </w:p>
    <w:p w14:paraId="422DFEFE">
      <w:pPr>
        <w:pStyle w:val="6"/>
        <w:widowControl w:val="0"/>
        <w:kinsoku/>
        <w:spacing w:line="360" w:lineRule="auto"/>
        <w:ind w:left="29" w:right="77" w:firstLine="651"/>
        <w:rPr>
          <w:color w:val="auto"/>
          <w:lang w:eastAsia="zh-CN"/>
        </w:rPr>
      </w:pPr>
      <w:r>
        <w:rPr>
          <w:b/>
          <w:bCs/>
          <w:color w:val="auto"/>
          <w:spacing w:val="2"/>
          <w:lang w:eastAsia="zh-CN"/>
        </w:rPr>
        <w:t>第三条</w:t>
      </w:r>
      <w:r>
        <w:rPr>
          <w:rFonts w:hint="eastAsia"/>
          <w:b/>
          <w:bCs/>
          <w:color w:val="auto"/>
          <w:spacing w:val="2"/>
          <w:lang w:eastAsia="zh-CN"/>
        </w:rPr>
        <w:t xml:space="preserve"> </w:t>
      </w:r>
      <w:r>
        <w:rPr>
          <w:rFonts w:hint="eastAsia"/>
          <w:color w:val="auto"/>
          <w:lang w:eastAsia="zh-CN"/>
        </w:rPr>
        <w:t>风险管理</w:t>
      </w:r>
      <w:r>
        <w:rPr>
          <w:color w:val="auto"/>
          <w:spacing w:val="9"/>
          <w:lang w:eastAsia="zh-CN"/>
        </w:rPr>
        <w:t>机构的工作范围与</w:t>
      </w:r>
      <w:r>
        <w:rPr>
          <w:rFonts w:hint="eastAsia"/>
          <w:color w:val="auto"/>
          <w:spacing w:val="9"/>
          <w:lang w:eastAsia="zh-CN"/>
        </w:rPr>
        <w:t>保险</w:t>
      </w:r>
      <w:r>
        <w:rPr>
          <w:color w:val="auto"/>
          <w:spacing w:val="9"/>
          <w:lang w:eastAsia="zh-CN"/>
        </w:rPr>
        <w:t>公司承保项目的</w:t>
      </w:r>
      <w:r>
        <w:rPr>
          <w:rFonts w:hint="eastAsia"/>
          <w:color w:val="auto"/>
          <w:lang w:eastAsia="zh-CN"/>
        </w:rPr>
        <w:t>住宅质量保险</w:t>
      </w:r>
      <w:r>
        <w:rPr>
          <w:color w:val="auto"/>
          <w:spacing w:val="9"/>
          <w:lang w:eastAsia="zh-CN"/>
        </w:rPr>
        <w:t>保单责任</w:t>
      </w:r>
      <w:r>
        <w:rPr>
          <w:color w:val="auto"/>
          <w:lang w:eastAsia="zh-CN"/>
        </w:rPr>
        <w:t>范围一致</w:t>
      </w:r>
      <w:r>
        <w:rPr>
          <w:rFonts w:hint="eastAsia"/>
          <w:color w:val="auto"/>
          <w:lang w:eastAsia="zh-CN"/>
        </w:rPr>
        <w:t>，</w:t>
      </w:r>
      <w:r>
        <w:rPr>
          <w:color w:val="auto"/>
          <w:lang w:eastAsia="zh-CN"/>
        </w:rPr>
        <w:t>涵盖建设工程的勘察、设计、施工、调试、验</w:t>
      </w:r>
      <w:r>
        <w:rPr>
          <w:color w:val="auto"/>
          <w:spacing w:val="-1"/>
          <w:lang w:eastAsia="zh-CN"/>
        </w:rPr>
        <w:t>收和运营</w:t>
      </w:r>
      <w:r>
        <w:rPr>
          <w:color w:val="auto"/>
          <w:spacing w:val="-2"/>
          <w:lang w:eastAsia="zh-CN"/>
        </w:rPr>
        <w:t>等过程。</w:t>
      </w:r>
    </w:p>
    <w:p w14:paraId="7B1EB0B7">
      <w:pPr>
        <w:pStyle w:val="6"/>
        <w:widowControl w:val="0"/>
        <w:kinsoku/>
        <w:spacing w:line="360" w:lineRule="auto"/>
        <w:ind w:right="71" w:firstLine="651"/>
        <w:rPr>
          <w:color w:val="auto"/>
          <w:lang w:eastAsia="zh-CN"/>
        </w:rPr>
      </w:pPr>
      <w:r>
        <w:rPr>
          <w:b/>
          <w:bCs/>
          <w:color w:val="auto"/>
          <w:spacing w:val="2"/>
          <w:lang w:eastAsia="zh-CN"/>
        </w:rPr>
        <w:t>第四条</w:t>
      </w:r>
      <w:r>
        <w:rPr>
          <w:rFonts w:hint="eastAsia"/>
          <w:b/>
          <w:bCs/>
          <w:color w:val="auto"/>
          <w:spacing w:val="2"/>
          <w:lang w:eastAsia="zh-CN"/>
        </w:rPr>
        <w:t xml:space="preserve"> </w:t>
      </w:r>
      <w:r>
        <w:rPr>
          <w:color w:val="auto"/>
          <w:spacing w:val="11"/>
          <w:lang w:eastAsia="zh-CN"/>
        </w:rPr>
        <w:t>对</w:t>
      </w:r>
      <w:r>
        <w:rPr>
          <w:rFonts w:hint="eastAsia"/>
          <w:color w:val="auto"/>
          <w:lang w:eastAsia="zh-CN"/>
        </w:rPr>
        <w:t>风险管理</w:t>
      </w:r>
      <w:r>
        <w:rPr>
          <w:color w:val="auto"/>
          <w:spacing w:val="11"/>
          <w:lang w:eastAsia="zh-CN"/>
        </w:rPr>
        <w:t>机构的管理</w:t>
      </w:r>
      <w:r>
        <w:rPr>
          <w:color w:val="auto"/>
          <w:spacing w:val="5"/>
          <w:lang w:eastAsia="zh-CN"/>
        </w:rPr>
        <w:t>包括对</w:t>
      </w:r>
      <w:r>
        <w:rPr>
          <w:rFonts w:hint="eastAsia"/>
          <w:color w:val="auto"/>
          <w:lang w:eastAsia="zh-CN"/>
        </w:rPr>
        <w:t>风险管理</w:t>
      </w:r>
      <w:r>
        <w:rPr>
          <w:color w:val="auto"/>
          <w:spacing w:val="5"/>
          <w:lang w:eastAsia="zh-CN"/>
        </w:rPr>
        <w:t>机</w:t>
      </w:r>
      <w:r>
        <w:rPr>
          <w:color w:val="auto"/>
          <w:spacing w:val="7"/>
          <w:lang w:eastAsia="zh-CN"/>
        </w:rPr>
        <w:t>构的资格认定与入库、</w:t>
      </w:r>
      <w:r>
        <w:rPr>
          <w:rFonts w:hint="eastAsia"/>
          <w:color w:val="auto"/>
          <w:spacing w:val="7"/>
          <w:lang w:eastAsia="zh-CN"/>
        </w:rPr>
        <w:t>从业人员的资质管理与培训、</w:t>
      </w:r>
      <w:r>
        <w:rPr>
          <w:color w:val="auto"/>
          <w:spacing w:val="7"/>
          <w:lang w:eastAsia="zh-CN"/>
        </w:rPr>
        <w:t>项目选用、服务监控与</w:t>
      </w:r>
      <w:r>
        <w:rPr>
          <w:color w:val="auto"/>
          <w:spacing w:val="6"/>
          <w:lang w:eastAsia="zh-CN"/>
        </w:rPr>
        <w:t>考核、持续性要求</w:t>
      </w:r>
      <w:r>
        <w:rPr>
          <w:color w:val="auto"/>
          <w:spacing w:val="-2"/>
          <w:lang w:eastAsia="zh-CN"/>
        </w:rPr>
        <w:t>等工作。</w:t>
      </w:r>
    </w:p>
    <w:p w14:paraId="138AE74A">
      <w:pPr>
        <w:pStyle w:val="3"/>
        <w:spacing w:line="240" w:lineRule="auto"/>
        <w:jc w:val="center"/>
        <w:rPr>
          <w:lang w:eastAsia="zh-CN"/>
        </w:rPr>
      </w:pPr>
      <w:bookmarkStart w:id="0" w:name="bookmark4"/>
      <w:bookmarkEnd w:id="0"/>
      <w:r>
        <w:rPr>
          <w:rFonts w:hint="eastAsia"/>
          <w:lang w:eastAsia="zh-CN"/>
        </w:rPr>
        <w:t>第二章 风险管理机构资质标准</w:t>
      </w:r>
    </w:p>
    <w:p w14:paraId="53A31A4C">
      <w:pPr>
        <w:pStyle w:val="6"/>
        <w:widowControl w:val="0"/>
        <w:kinsoku/>
        <w:spacing w:line="360" w:lineRule="auto"/>
        <w:ind w:firstLine="651"/>
        <w:jc w:val="both"/>
        <w:rPr>
          <w:color w:val="auto"/>
          <w:szCs w:val="32"/>
          <w:lang w:eastAsia="zh-CN"/>
        </w:rPr>
      </w:pPr>
      <w:r>
        <w:rPr>
          <w:rFonts w:hint="eastAsia"/>
          <w:b/>
          <w:bCs/>
          <w:color w:val="auto"/>
          <w:spacing w:val="2"/>
          <w:lang w:eastAsia="zh-CN"/>
        </w:rPr>
        <w:t xml:space="preserve">第五条 </w:t>
      </w:r>
      <w:r>
        <w:rPr>
          <w:rFonts w:hint="eastAsia"/>
          <w:color w:val="auto"/>
          <w:szCs w:val="32"/>
          <w:lang w:eastAsia="zh-CN"/>
        </w:rPr>
        <w:t>风险管理机构应为独立对外承担民事赔偿责任的主体，应满足以下条件之一：</w:t>
      </w:r>
    </w:p>
    <w:p w14:paraId="2AC6484F">
      <w:pPr>
        <w:pStyle w:val="6"/>
        <w:widowControl w:val="0"/>
        <w:kinsoku/>
        <w:spacing w:line="360" w:lineRule="auto"/>
        <w:ind w:firstLine="640"/>
        <w:jc w:val="both"/>
        <w:rPr>
          <w:color w:val="auto"/>
          <w:szCs w:val="32"/>
          <w:lang w:eastAsia="zh-CN"/>
        </w:rPr>
      </w:pPr>
      <w:r>
        <w:rPr>
          <w:rFonts w:hint="eastAsia"/>
          <w:color w:val="auto"/>
          <w:szCs w:val="32"/>
          <w:lang w:eastAsia="zh-CN"/>
        </w:rPr>
        <w:t>（一）具有大型建设工程管理经验，拥有建设工程监理甲级或以上资质的建设工程管理机构；</w:t>
      </w:r>
    </w:p>
    <w:p w14:paraId="27C8FDC9">
      <w:pPr>
        <w:pStyle w:val="6"/>
        <w:widowControl w:val="0"/>
        <w:kinsoku/>
        <w:spacing w:line="360" w:lineRule="auto"/>
        <w:ind w:firstLine="640"/>
        <w:jc w:val="both"/>
        <w:rPr>
          <w:color w:val="auto"/>
          <w:szCs w:val="32"/>
          <w:lang w:eastAsia="zh-CN"/>
        </w:rPr>
      </w:pPr>
      <w:r>
        <w:rPr>
          <w:rFonts w:hint="eastAsia"/>
          <w:color w:val="auto"/>
          <w:szCs w:val="32"/>
          <w:lang w:eastAsia="zh-CN"/>
        </w:rPr>
        <w:t>（二）具有3年以上受保险公司委托国内建设工程质量风险管理经验，并按专业要求配备相应注册工程师的境内外工程管理机构；</w:t>
      </w:r>
    </w:p>
    <w:p w14:paraId="5A860663">
      <w:pPr>
        <w:pStyle w:val="6"/>
        <w:widowControl w:val="0"/>
        <w:kinsoku/>
        <w:spacing w:line="360" w:lineRule="auto"/>
        <w:ind w:firstLine="640"/>
        <w:jc w:val="both"/>
        <w:rPr>
          <w:color w:val="auto"/>
          <w:szCs w:val="32"/>
          <w:lang w:eastAsia="zh-CN"/>
        </w:rPr>
      </w:pPr>
      <w:r>
        <w:rPr>
          <w:rFonts w:hint="eastAsia"/>
          <w:color w:val="auto"/>
          <w:szCs w:val="32"/>
          <w:lang w:eastAsia="zh-CN"/>
        </w:rPr>
        <w:t>（三）其他符合相关资格要求并具备工程质量风险管理能力的工程管理、咨询机构。</w:t>
      </w:r>
    </w:p>
    <w:p w14:paraId="3DA08219">
      <w:pPr>
        <w:pStyle w:val="6"/>
        <w:widowControl w:val="0"/>
        <w:kinsoku/>
        <w:spacing w:line="360" w:lineRule="auto"/>
        <w:ind w:firstLine="640"/>
        <w:jc w:val="both"/>
        <w:rPr>
          <w:color w:val="auto"/>
          <w:szCs w:val="32"/>
          <w:lang w:eastAsia="zh-CN"/>
        </w:rPr>
      </w:pPr>
      <w:r>
        <w:rPr>
          <w:rFonts w:hint="eastAsia"/>
          <w:color w:val="auto"/>
          <w:szCs w:val="32"/>
          <w:lang w:eastAsia="zh-CN"/>
        </w:rPr>
        <w:t>鼓励现有工程监理、设计审图、检测等机构通过改组、合并等方式发展成为风险管理机构。</w:t>
      </w:r>
    </w:p>
    <w:p w14:paraId="3FFB1ECB">
      <w:pPr>
        <w:pStyle w:val="6"/>
        <w:widowControl w:val="0"/>
        <w:kinsoku/>
        <w:spacing w:line="360" w:lineRule="auto"/>
        <w:ind w:firstLine="640"/>
        <w:jc w:val="both"/>
        <w:rPr>
          <w:snapToGrid/>
          <w:color w:val="auto"/>
          <w:szCs w:val="32"/>
          <w:highlight w:val="none"/>
          <w:lang w:eastAsia="zh-CN"/>
        </w:rPr>
      </w:pPr>
      <w:r>
        <w:rPr>
          <w:rFonts w:hint="eastAsia"/>
          <w:snapToGrid/>
          <w:color w:val="auto"/>
          <w:szCs w:val="32"/>
          <w:lang w:eastAsia="zh-CN"/>
        </w:rPr>
        <w:t>根据建设工程质量缺陷保险市场发展需要，各家保险机构自主选择符合条件</w:t>
      </w:r>
      <w:r>
        <w:rPr>
          <w:rFonts w:hint="eastAsia"/>
          <w:snapToGrid/>
          <w:color w:val="auto"/>
          <w:szCs w:val="32"/>
          <w:highlight w:val="none"/>
          <w:lang w:eastAsia="zh-CN"/>
        </w:rPr>
        <w:t>的风险管理机构报杭州市建设工程质量安全管理协会质量保险分会</w:t>
      </w:r>
      <w:r>
        <w:rPr>
          <w:rFonts w:hint="eastAsia"/>
          <w:color w:val="auto"/>
          <w:szCs w:val="32"/>
          <w:highlight w:val="none"/>
          <w:lang w:eastAsia="zh-CN"/>
        </w:rPr>
        <w:t>（以下简称“质量保险分会”）</w:t>
      </w:r>
      <w:r>
        <w:rPr>
          <w:rFonts w:hint="eastAsia"/>
          <w:snapToGrid/>
          <w:color w:val="auto"/>
          <w:szCs w:val="32"/>
          <w:highlight w:val="none"/>
          <w:lang w:eastAsia="zh-CN"/>
        </w:rPr>
        <w:t>入库。</w:t>
      </w:r>
    </w:p>
    <w:p w14:paraId="34CC1B34">
      <w:pPr>
        <w:pStyle w:val="6"/>
        <w:widowControl w:val="0"/>
        <w:kinsoku/>
        <w:spacing w:line="360" w:lineRule="auto"/>
        <w:ind w:firstLine="651"/>
        <w:rPr>
          <w:color w:val="auto"/>
          <w:szCs w:val="32"/>
          <w:lang w:eastAsia="zh-CN"/>
        </w:rPr>
      </w:pPr>
      <w:r>
        <w:rPr>
          <w:rFonts w:hint="eastAsia"/>
          <w:b/>
          <w:bCs/>
          <w:color w:val="auto"/>
          <w:spacing w:val="2"/>
          <w:lang w:eastAsia="zh-CN"/>
        </w:rPr>
        <w:t xml:space="preserve">第六条 </w:t>
      </w:r>
      <w:r>
        <w:rPr>
          <w:rFonts w:hint="eastAsia"/>
          <w:color w:val="auto"/>
          <w:szCs w:val="32"/>
          <w:lang w:eastAsia="zh-CN"/>
        </w:rPr>
        <w:t>风险管理机构的商务及技术资格要求</w:t>
      </w:r>
    </w:p>
    <w:p w14:paraId="4DD9CA17">
      <w:pPr>
        <w:pStyle w:val="6"/>
        <w:widowControl w:val="0"/>
        <w:kinsoku/>
        <w:spacing w:line="360" w:lineRule="auto"/>
        <w:ind w:firstLine="640"/>
        <w:rPr>
          <w:color w:val="auto"/>
          <w:szCs w:val="32"/>
          <w:lang w:eastAsia="zh-CN"/>
        </w:rPr>
      </w:pPr>
      <w:r>
        <w:rPr>
          <w:rFonts w:hint="eastAsia"/>
          <w:color w:val="auto"/>
          <w:szCs w:val="32"/>
          <w:lang w:eastAsia="zh-CN"/>
        </w:rPr>
        <w:t>（一）风险管理机构应具有良好的经营业绩和银行资信状况，遵守国家法律法规，具有良好的商业信誉；</w:t>
      </w:r>
    </w:p>
    <w:p w14:paraId="39826B7B">
      <w:pPr>
        <w:widowControl w:val="0"/>
        <w:kinsoku/>
        <w:spacing w:line="360" w:lineRule="auto"/>
        <w:ind w:firstLine="640" w:firstLineChars="20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（二）风险管理机构专业技术人员应具有工程师以上技术职称，项目负责人应具有高级工程师以上技术职称，专业技术人员数量和专业组成应能满足其正常开展业务需要。</w:t>
      </w:r>
    </w:p>
    <w:p w14:paraId="4EC9534A">
      <w:pPr>
        <w:pStyle w:val="6"/>
        <w:widowControl w:val="0"/>
        <w:kinsoku/>
        <w:spacing w:line="360" w:lineRule="auto"/>
        <w:ind w:firstLine="660"/>
        <w:rPr>
          <w:color w:val="auto"/>
          <w:szCs w:val="32"/>
          <w:lang w:eastAsia="zh-CN"/>
        </w:rPr>
      </w:pPr>
      <w:r>
        <w:rPr>
          <w:rFonts w:hint="eastAsia"/>
          <w:color w:val="auto"/>
          <w:spacing w:val="5"/>
          <w:szCs w:val="32"/>
          <w:lang w:eastAsia="zh-CN"/>
        </w:rPr>
        <w:t>（三）</w:t>
      </w:r>
      <w:r>
        <w:rPr>
          <w:rFonts w:hint="eastAsia"/>
          <w:color w:val="auto"/>
          <w:szCs w:val="32"/>
          <w:lang w:eastAsia="zh-CN"/>
        </w:rPr>
        <w:t>风险管理</w:t>
      </w:r>
      <w:r>
        <w:rPr>
          <w:rFonts w:hint="eastAsia"/>
          <w:color w:val="auto"/>
          <w:spacing w:val="5"/>
          <w:szCs w:val="32"/>
          <w:lang w:eastAsia="zh-CN"/>
        </w:rPr>
        <w:t>机构应具有完善的服务体系；</w:t>
      </w:r>
    </w:p>
    <w:p w14:paraId="67029CC8">
      <w:pPr>
        <w:pStyle w:val="6"/>
        <w:widowControl w:val="0"/>
        <w:kinsoku/>
        <w:spacing w:line="360" w:lineRule="auto"/>
        <w:ind w:firstLine="660"/>
        <w:rPr>
          <w:color w:val="auto"/>
          <w:szCs w:val="32"/>
          <w:lang w:eastAsia="zh-CN"/>
        </w:rPr>
      </w:pPr>
      <w:r>
        <w:rPr>
          <w:rFonts w:hint="eastAsia"/>
          <w:color w:val="auto"/>
          <w:spacing w:val="5"/>
          <w:szCs w:val="32"/>
          <w:lang w:eastAsia="zh-CN"/>
        </w:rPr>
        <w:t>（四）</w:t>
      </w:r>
      <w:r>
        <w:rPr>
          <w:rFonts w:hint="eastAsia"/>
          <w:color w:val="auto"/>
          <w:szCs w:val="32"/>
          <w:lang w:eastAsia="zh-CN"/>
        </w:rPr>
        <w:t>风险管理</w:t>
      </w:r>
      <w:r>
        <w:rPr>
          <w:rFonts w:hint="eastAsia"/>
          <w:color w:val="auto"/>
          <w:spacing w:val="5"/>
          <w:szCs w:val="32"/>
          <w:lang w:eastAsia="zh-CN"/>
        </w:rPr>
        <w:t>机构应具有提供本办法规定的服务内容的能力。</w:t>
      </w:r>
    </w:p>
    <w:p w14:paraId="3E01F17C">
      <w:pPr>
        <w:pStyle w:val="6"/>
        <w:widowControl w:val="0"/>
        <w:kinsoku/>
        <w:spacing w:line="360" w:lineRule="auto"/>
        <w:ind w:left="40" w:right="91" w:firstLine="651"/>
        <w:jc w:val="both"/>
        <w:rPr>
          <w:color w:val="auto"/>
          <w:szCs w:val="32"/>
          <w:lang w:eastAsia="zh-CN"/>
        </w:rPr>
      </w:pPr>
      <w:r>
        <w:rPr>
          <w:rFonts w:hint="eastAsia"/>
          <w:b/>
          <w:bCs/>
          <w:color w:val="auto"/>
          <w:spacing w:val="2"/>
          <w:lang w:eastAsia="zh-CN"/>
        </w:rPr>
        <w:t xml:space="preserve">第七条 </w:t>
      </w:r>
      <w:r>
        <w:rPr>
          <w:rFonts w:hint="eastAsia"/>
          <w:color w:val="auto"/>
          <w:szCs w:val="32"/>
          <w:lang w:eastAsia="zh-CN"/>
        </w:rPr>
        <w:t>杭州市工程质量潜在缺陷保险风险管理从业人员（以下简称“从业人员”）实施审批准入制管理。</w:t>
      </w:r>
    </w:p>
    <w:p w14:paraId="19CFC2EB">
      <w:pPr>
        <w:pStyle w:val="6"/>
        <w:widowControl w:val="0"/>
        <w:kinsoku/>
        <w:spacing w:line="360" w:lineRule="auto"/>
        <w:ind w:left="40" w:right="91" w:firstLine="640"/>
        <w:jc w:val="both"/>
        <w:rPr>
          <w:color w:val="auto"/>
          <w:spacing w:val="5"/>
          <w:szCs w:val="32"/>
          <w:lang w:eastAsia="zh-CN"/>
        </w:rPr>
      </w:pPr>
      <w:r>
        <w:rPr>
          <w:rFonts w:hint="eastAsia"/>
          <w:color w:val="auto"/>
          <w:szCs w:val="32"/>
          <w:lang w:eastAsia="zh-CN"/>
        </w:rPr>
        <w:t>质量保险分会根据本</w:t>
      </w:r>
      <w:r>
        <w:rPr>
          <w:rFonts w:hint="eastAsia"/>
          <w:color w:val="auto"/>
          <w:spacing w:val="5"/>
          <w:szCs w:val="32"/>
          <w:lang w:eastAsia="zh-CN"/>
        </w:rPr>
        <w:t>办法要求，对风险管理机构人员资质、资格进行审核，建立风险管理机构人才数据库（以下简称“人才数据库”），并负责定期对从业人员进行培训及再评估。</w:t>
      </w:r>
    </w:p>
    <w:p w14:paraId="066AC0E0">
      <w:pPr>
        <w:pStyle w:val="6"/>
        <w:widowControl w:val="0"/>
        <w:kinsoku/>
        <w:spacing w:line="360" w:lineRule="auto"/>
        <w:ind w:left="40" w:right="91" w:firstLine="660"/>
        <w:jc w:val="both"/>
        <w:rPr>
          <w:color w:val="auto"/>
          <w:szCs w:val="32"/>
          <w:lang w:eastAsia="zh-CN"/>
        </w:rPr>
      </w:pPr>
      <w:r>
        <w:rPr>
          <w:rFonts w:hint="eastAsia"/>
          <w:color w:val="auto"/>
          <w:spacing w:val="5"/>
          <w:szCs w:val="32"/>
          <w:lang w:eastAsia="zh-CN"/>
        </w:rPr>
        <w:t>风险管理机构应当从人才数据库内选取从业人员开展住宅工</w:t>
      </w:r>
      <w:r>
        <w:rPr>
          <w:rFonts w:hint="eastAsia"/>
          <w:color w:val="auto"/>
          <w:szCs w:val="32"/>
          <w:lang w:eastAsia="zh-CN"/>
        </w:rPr>
        <w:t>程质量潜在缺陷风险管理工作。</w:t>
      </w:r>
    </w:p>
    <w:p w14:paraId="59E6FACD">
      <w:pPr>
        <w:pStyle w:val="6"/>
        <w:widowControl w:val="0"/>
        <w:kinsoku/>
        <w:spacing w:line="360" w:lineRule="auto"/>
        <w:ind w:left="40" w:right="91" w:firstLine="640"/>
        <w:jc w:val="both"/>
        <w:rPr>
          <w:color w:val="auto"/>
          <w:szCs w:val="32"/>
          <w:lang w:eastAsia="zh-CN"/>
        </w:rPr>
      </w:pPr>
      <w:r>
        <w:rPr>
          <w:rFonts w:hint="eastAsia"/>
          <w:color w:val="auto"/>
          <w:szCs w:val="32"/>
          <w:lang w:eastAsia="zh-CN"/>
        </w:rPr>
        <w:t>保险公司对风险管理机构的工作开展情况进行日常管理。</w:t>
      </w:r>
    </w:p>
    <w:p w14:paraId="62F82578">
      <w:pPr>
        <w:pStyle w:val="6"/>
        <w:widowControl w:val="0"/>
        <w:kinsoku/>
        <w:spacing w:line="360" w:lineRule="auto"/>
        <w:ind w:left="40" w:right="91" w:firstLine="651"/>
        <w:jc w:val="both"/>
        <w:rPr>
          <w:color w:val="auto"/>
          <w:szCs w:val="32"/>
          <w:lang w:eastAsia="zh-CN"/>
        </w:rPr>
      </w:pPr>
      <w:r>
        <w:rPr>
          <w:rFonts w:hint="eastAsia"/>
          <w:b/>
          <w:bCs/>
          <w:color w:val="auto"/>
          <w:spacing w:val="2"/>
          <w:lang w:eastAsia="zh-CN"/>
        </w:rPr>
        <w:t xml:space="preserve">第八条 </w:t>
      </w:r>
      <w:r>
        <w:rPr>
          <w:rFonts w:hint="eastAsia"/>
          <w:color w:val="auto"/>
          <w:szCs w:val="32"/>
          <w:lang w:eastAsia="zh-CN"/>
        </w:rPr>
        <w:t>杭州市城乡建设委员会、国家金融监督管理总局浙江监管局委托质量保险分会负责杭州市风险管理机构的工作开展进行指导和评价。</w:t>
      </w:r>
    </w:p>
    <w:p w14:paraId="7EB3BCEB">
      <w:pPr>
        <w:pStyle w:val="3"/>
        <w:spacing w:line="240" w:lineRule="auto"/>
        <w:jc w:val="center"/>
        <w:rPr>
          <w:lang w:eastAsia="zh-CN"/>
        </w:rPr>
      </w:pPr>
      <w:bookmarkStart w:id="1" w:name="bookmark7"/>
      <w:bookmarkEnd w:id="1"/>
      <w:r>
        <w:rPr>
          <w:rFonts w:hint="eastAsia"/>
          <w:lang w:eastAsia="zh-CN"/>
        </w:rPr>
        <w:t>第三章 风险管理机构的选用</w:t>
      </w:r>
    </w:p>
    <w:p w14:paraId="3DB252ED">
      <w:pPr>
        <w:pStyle w:val="6"/>
        <w:widowControl w:val="0"/>
        <w:kinsoku/>
        <w:spacing w:line="360" w:lineRule="auto"/>
        <w:ind w:left="3" w:right="71" w:firstLine="651"/>
        <w:rPr>
          <w:color w:val="auto"/>
          <w:lang w:eastAsia="zh-CN"/>
        </w:rPr>
      </w:pPr>
      <w:r>
        <w:rPr>
          <w:b/>
          <w:bCs/>
          <w:color w:val="auto"/>
          <w:spacing w:val="2"/>
          <w:lang w:eastAsia="zh-CN"/>
        </w:rPr>
        <w:t>第</w:t>
      </w:r>
      <w:r>
        <w:rPr>
          <w:rFonts w:hint="eastAsia"/>
          <w:b/>
          <w:bCs/>
          <w:color w:val="auto"/>
          <w:spacing w:val="2"/>
          <w:lang w:eastAsia="zh-CN"/>
        </w:rPr>
        <w:t>九</w:t>
      </w:r>
      <w:r>
        <w:rPr>
          <w:b/>
          <w:bCs/>
          <w:color w:val="auto"/>
          <w:spacing w:val="2"/>
          <w:lang w:eastAsia="zh-CN"/>
        </w:rPr>
        <w:t>条</w:t>
      </w:r>
      <w:r>
        <w:rPr>
          <w:rFonts w:hint="eastAsia"/>
          <w:b/>
          <w:bCs/>
          <w:color w:val="auto"/>
          <w:spacing w:val="2"/>
          <w:lang w:eastAsia="zh-CN"/>
        </w:rPr>
        <w:t xml:space="preserve"> </w:t>
      </w:r>
      <w:r>
        <w:rPr>
          <w:rFonts w:hint="eastAsia"/>
          <w:color w:val="auto"/>
          <w:lang w:eastAsia="zh-CN"/>
        </w:rPr>
        <w:t>风险管理机构应当具备独立性，不得与已投保工程的参建单位（包括其集团公司及下级公司）存有利害关系及其他可能影响公正性的情况，不得直接或间接参与该工程的勘察、设计、施工、监理、材料供应、检测等服务内容。</w:t>
      </w:r>
    </w:p>
    <w:p w14:paraId="0B0D47D2">
      <w:pPr>
        <w:pStyle w:val="6"/>
        <w:widowControl w:val="0"/>
        <w:kinsoku/>
        <w:spacing w:line="360" w:lineRule="auto"/>
        <w:ind w:left="3" w:right="71" w:firstLine="651"/>
        <w:rPr>
          <w:strike/>
          <w:color w:val="auto"/>
          <w:lang w:eastAsia="zh-CN"/>
        </w:rPr>
      </w:pPr>
      <w:r>
        <w:rPr>
          <w:b/>
          <w:bCs/>
          <w:color w:val="auto"/>
          <w:spacing w:val="2"/>
          <w:lang w:eastAsia="zh-CN"/>
        </w:rPr>
        <w:t>第</w:t>
      </w:r>
      <w:r>
        <w:rPr>
          <w:rFonts w:hint="eastAsia"/>
          <w:b/>
          <w:bCs/>
          <w:color w:val="auto"/>
          <w:spacing w:val="2"/>
          <w:lang w:eastAsia="zh-CN"/>
        </w:rPr>
        <w:t>十</w:t>
      </w:r>
      <w:r>
        <w:rPr>
          <w:b/>
          <w:bCs/>
          <w:color w:val="auto"/>
          <w:spacing w:val="2"/>
          <w:lang w:eastAsia="zh-CN"/>
        </w:rPr>
        <w:t>条</w:t>
      </w:r>
      <w:r>
        <w:rPr>
          <w:rFonts w:hint="eastAsia"/>
          <w:b/>
          <w:bCs/>
          <w:color w:val="auto"/>
          <w:spacing w:val="2"/>
          <w:lang w:eastAsia="zh-CN"/>
        </w:rPr>
        <w:t xml:space="preserve"> </w:t>
      </w:r>
      <w:r>
        <w:rPr>
          <w:rFonts w:hint="eastAsia"/>
          <w:color w:val="auto"/>
          <w:lang w:eastAsia="zh-CN"/>
        </w:rPr>
        <w:t>主承保公司收到投保材料后，应及时确定风险管理机构，签订委托合同。</w:t>
      </w:r>
    </w:p>
    <w:p w14:paraId="5B47DACD">
      <w:pPr>
        <w:pStyle w:val="6"/>
        <w:widowControl w:val="0"/>
        <w:kinsoku/>
        <w:spacing w:line="360" w:lineRule="auto"/>
        <w:ind w:left="5" w:right="71" w:firstLine="651"/>
        <w:rPr>
          <w:color w:val="auto"/>
          <w:lang w:eastAsia="zh-CN"/>
        </w:rPr>
      </w:pPr>
      <w:r>
        <w:rPr>
          <w:b/>
          <w:bCs/>
          <w:color w:val="auto"/>
          <w:spacing w:val="2"/>
          <w:lang w:eastAsia="zh-CN"/>
        </w:rPr>
        <w:t>第十</w:t>
      </w:r>
      <w:r>
        <w:rPr>
          <w:rFonts w:hint="eastAsia"/>
          <w:b/>
          <w:bCs/>
          <w:color w:val="auto"/>
          <w:spacing w:val="2"/>
          <w:lang w:eastAsia="zh-CN"/>
        </w:rPr>
        <w:t>一</w:t>
      </w:r>
      <w:r>
        <w:rPr>
          <w:b/>
          <w:bCs/>
          <w:color w:val="auto"/>
          <w:spacing w:val="2"/>
          <w:lang w:eastAsia="zh-CN"/>
        </w:rPr>
        <w:t>条</w:t>
      </w:r>
      <w:r>
        <w:rPr>
          <w:rFonts w:hint="eastAsia"/>
          <w:b/>
          <w:bCs/>
          <w:color w:val="auto"/>
          <w:spacing w:val="2"/>
          <w:lang w:eastAsia="zh-CN"/>
        </w:rPr>
        <w:t xml:space="preserve"> </w:t>
      </w:r>
      <w:r>
        <w:rPr>
          <w:rFonts w:hint="eastAsia"/>
          <w:color w:val="auto"/>
          <w:lang w:eastAsia="zh-CN"/>
        </w:rPr>
        <w:t>风险管理</w:t>
      </w:r>
      <w:r>
        <w:rPr>
          <w:color w:val="auto"/>
          <w:lang w:eastAsia="zh-CN"/>
        </w:rPr>
        <w:t>机构应当根据委托合同，按照法律法规、</w:t>
      </w:r>
      <w:r>
        <w:rPr>
          <w:rFonts w:hint="eastAsia"/>
          <w:color w:val="auto"/>
          <w:lang w:eastAsia="zh-CN"/>
        </w:rPr>
        <w:t>技术规范与标准、设计文件</w:t>
      </w:r>
      <w:r>
        <w:rPr>
          <w:color w:val="auto"/>
          <w:lang w:eastAsia="zh-CN"/>
        </w:rPr>
        <w:t>的要求对被保险建设工程项目实施过程风险管控。</w:t>
      </w:r>
      <w:r>
        <w:rPr>
          <w:rFonts w:hint="eastAsia"/>
          <w:color w:val="auto"/>
          <w:lang w:eastAsia="zh-CN"/>
        </w:rPr>
        <w:t>风险管理</w:t>
      </w:r>
      <w:r>
        <w:rPr>
          <w:color w:val="auto"/>
          <w:lang w:eastAsia="zh-CN"/>
        </w:rPr>
        <w:t>机构不得转让风险管理业务。</w:t>
      </w:r>
      <w:r>
        <w:rPr>
          <w:rFonts w:hint="eastAsia"/>
          <w:color w:val="auto"/>
          <w:lang w:eastAsia="zh-CN"/>
        </w:rPr>
        <w:t>风险管理机构全过程风险管理工作应当符合《杭州市住宅工程质量潜在缺陷保险风险管理机构服务工作手册》（详见附件2）等规范文件及合约要求。</w:t>
      </w:r>
    </w:p>
    <w:p w14:paraId="217EA9E9">
      <w:pPr>
        <w:pStyle w:val="6"/>
        <w:widowControl w:val="0"/>
        <w:kinsoku/>
        <w:spacing w:line="360" w:lineRule="auto"/>
        <w:ind w:left="8" w:right="73" w:firstLine="651"/>
        <w:rPr>
          <w:color w:val="auto"/>
          <w:lang w:eastAsia="zh-CN"/>
        </w:rPr>
      </w:pPr>
      <w:r>
        <w:rPr>
          <w:b/>
          <w:bCs/>
          <w:color w:val="auto"/>
          <w:spacing w:val="2"/>
          <w:lang w:eastAsia="zh-CN"/>
        </w:rPr>
        <w:t>第十</w:t>
      </w:r>
      <w:r>
        <w:rPr>
          <w:rFonts w:hint="eastAsia"/>
          <w:b/>
          <w:bCs/>
          <w:color w:val="auto"/>
          <w:spacing w:val="2"/>
          <w:lang w:eastAsia="zh-CN"/>
        </w:rPr>
        <w:t>二</w:t>
      </w:r>
      <w:r>
        <w:rPr>
          <w:b/>
          <w:bCs/>
          <w:color w:val="auto"/>
          <w:spacing w:val="2"/>
          <w:lang w:eastAsia="zh-CN"/>
        </w:rPr>
        <w:t>条</w:t>
      </w:r>
      <w:r>
        <w:rPr>
          <w:rFonts w:hint="eastAsia"/>
          <w:b/>
          <w:bCs/>
          <w:color w:val="auto"/>
          <w:spacing w:val="2"/>
          <w:lang w:eastAsia="zh-CN"/>
        </w:rPr>
        <w:t xml:space="preserve"> </w:t>
      </w:r>
      <w:r>
        <w:rPr>
          <w:rFonts w:hint="eastAsia"/>
          <w:color w:val="auto"/>
          <w:lang w:eastAsia="zh-CN"/>
        </w:rPr>
        <w:t>风险管理</w:t>
      </w:r>
      <w:r>
        <w:rPr>
          <w:color w:val="auto"/>
          <w:lang w:eastAsia="zh-CN"/>
        </w:rPr>
        <w:t>机构应结合工程项目的实际情况，制定被保险工程项目风险管理实施方案，包括人员配备、</w:t>
      </w:r>
      <w:r>
        <w:rPr>
          <w:rFonts w:hint="eastAsia"/>
          <w:color w:val="auto"/>
          <w:lang w:eastAsia="zh-CN"/>
        </w:rPr>
        <w:t>项目</w:t>
      </w:r>
      <w:r>
        <w:rPr>
          <w:color w:val="auto"/>
          <w:lang w:eastAsia="zh-CN"/>
        </w:rPr>
        <w:t>负责人、风险管理具体实施范围和对象、过程风险管理具体实施计划、过程风险管理的关键节点或重点工序相关事项。</w:t>
      </w:r>
    </w:p>
    <w:p w14:paraId="1978A299">
      <w:pPr>
        <w:pStyle w:val="6"/>
        <w:widowControl w:val="0"/>
        <w:kinsoku/>
        <w:spacing w:line="360" w:lineRule="auto"/>
        <w:ind w:left="5" w:right="80" w:firstLine="651"/>
        <w:rPr>
          <w:color w:val="FF0000"/>
          <w:lang w:eastAsia="zh-CN"/>
        </w:rPr>
      </w:pPr>
      <w:r>
        <w:rPr>
          <w:b/>
          <w:bCs/>
          <w:color w:val="auto"/>
          <w:spacing w:val="2"/>
          <w:lang w:eastAsia="zh-CN"/>
        </w:rPr>
        <w:t>第十</w:t>
      </w:r>
      <w:r>
        <w:rPr>
          <w:rFonts w:hint="eastAsia"/>
          <w:b/>
          <w:bCs/>
          <w:color w:val="auto"/>
          <w:spacing w:val="2"/>
          <w:lang w:eastAsia="zh-CN"/>
        </w:rPr>
        <w:t>三</w:t>
      </w:r>
      <w:r>
        <w:rPr>
          <w:b/>
          <w:bCs/>
          <w:color w:val="auto"/>
          <w:spacing w:val="2"/>
          <w:lang w:eastAsia="zh-CN"/>
        </w:rPr>
        <w:t>条</w:t>
      </w:r>
      <w:r>
        <w:rPr>
          <w:rFonts w:hint="eastAsia"/>
          <w:b/>
          <w:bCs/>
          <w:color w:val="auto"/>
          <w:spacing w:val="2"/>
          <w:lang w:eastAsia="zh-CN"/>
        </w:rPr>
        <w:t xml:space="preserve"> </w:t>
      </w:r>
      <w:r>
        <w:rPr>
          <w:rFonts w:hint="eastAsia"/>
          <w:color w:val="auto"/>
          <w:lang w:eastAsia="zh-CN"/>
        </w:rPr>
        <w:t>风险管理</w:t>
      </w:r>
      <w:r>
        <w:rPr>
          <w:color w:val="auto"/>
          <w:lang w:eastAsia="zh-CN"/>
        </w:rPr>
        <w:t>机构应根据保险合同内容及前期风险管理方案向</w:t>
      </w:r>
      <w:r>
        <w:rPr>
          <w:rFonts w:hint="eastAsia"/>
          <w:color w:val="auto"/>
          <w:lang w:eastAsia="zh-CN"/>
        </w:rPr>
        <w:t>保险</w:t>
      </w:r>
      <w:r>
        <w:rPr>
          <w:color w:val="auto"/>
          <w:lang w:eastAsia="zh-CN"/>
        </w:rPr>
        <w:t>公司提供过程</w:t>
      </w:r>
      <w:r>
        <w:rPr>
          <w:rFonts w:hint="eastAsia"/>
          <w:color w:val="auto"/>
          <w:lang w:val="en-US" w:eastAsia="zh-CN"/>
        </w:rPr>
        <w:t>准备阶段</w:t>
      </w:r>
      <w:r>
        <w:rPr>
          <w:color w:val="auto"/>
          <w:lang w:eastAsia="zh-CN"/>
        </w:rPr>
        <w:t>和</w:t>
      </w:r>
      <w:r>
        <w:rPr>
          <w:rFonts w:hint="eastAsia"/>
          <w:color w:val="auto"/>
          <w:lang w:val="en-US" w:eastAsia="zh-CN"/>
        </w:rPr>
        <w:t>施工阶段</w:t>
      </w:r>
      <w:r>
        <w:rPr>
          <w:color w:val="auto"/>
          <w:lang w:eastAsia="zh-CN"/>
        </w:rPr>
        <w:t>风险评估报告。</w:t>
      </w:r>
      <w:r>
        <w:rPr>
          <w:rFonts w:hint="eastAsia"/>
          <w:color w:val="auto"/>
          <w:lang w:eastAsia="zh-CN"/>
        </w:rPr>
        <w:t>风险管理</w:t>
      </w:r>
      <w:r>
        <w:rPr>
          <w:color w:val="auto"/>
          <w:lang w:eastAsia="zh-CN"/>
        </w:rPr>
        <w:t>机构在保险赔偿责任期开始前</w:t>
      </w:r>
      <w:r>
        <w:rPr>
          <w:rFonts w:hint="eastAsia"/>
          <w:color w:val="auto"/>
          <w:lang w:val="en-US" w:eastAsia="zh-CN"/>
        </w:rPr>
        <w:t>的回访阶段</w:t>
      </w:r>
      <w:r>
        <w:rPr>
          <w:color w:val="auto"/>
          <w:lang w:eastAsia="zh-CN"/>
        </w:rPr>
        <w:t>，应当进行现场复查，并出具回访检查风险评估报告。</w:t>
      </w:r>
    </w:p>
    <w:p w14:paraId="3C6BB8A4">
      <w:pPr>
        <w:pStyle w:val="6"/>
        <w:widowControl w:val="0"/>
        <w:kinsoku/>
        <w:spacing w:line="360" w:lineRule="auto"/>
        <w:ind w:left="5" w:right="73" w:firstLine="651"/>
        <w:rPr>
          <w:color w:val="auto"/>
          <w:spacing w:val="2"/>
          <w:lang w:eastAsia="zh-CN"/>
        </w:rPr>
      </w:pPr>
      <w:r>
        <w:rPr>
          <w:b/>
          <w:bCs/>
          <w:color w:val="auto"/>
          <w:spacing w:val="2"/>
          <w:lang w:eastAsia="zh-CN"/>
        </w:rPr>
        <w:t>第十</w:t>
      </w:r>
      <w:r>
        <w:rPr>
          <w:rFonts w:hint="eastAsia"/>
          <w:b/>
          <w:bCs/>
          <w:color w:val="auto"/>
          <w:spacing w:val="2"/>
          <w:lang w:eastAsia="zh-CN"/>
        </w:rPr>
        <w:t>四</w:t>
      </w:r>
      <w:r>
        <w:rPr>
          <w:b/>
          <w:bCs/>
          <w:color w:val="auto"/>
          <w:spacing w:val="2"/>
          <w:lang w:eastAsia="zh-CN"/>
        </w:rPr>
        <w:t>条</w:t>
      </w:r>
      <w:r>
        <w:rPr>
          <w:rFonts w:hint="eastAsia"/>
          <w:b/>
          <w:bCs/>
          <w:color w:val="auto"/>
          <w:spacing w:val="2"/>
          <w:lang w:eastAsia="zh-CN"/>
        </w:rPr>
        <w:t xml:space="preserve"> </w:t>
      </w:r>
      <w:r>
        <w:rPr>
          <w:rFonts w:hint="eastAsia"/>
          <w:color w:val="auto"/>
          <w:spacing w:val="2"/>
          <w:lang w:eastAsia="zh-CN"/>
        </w:rPr>
        <w:t>风险管理机构在风险管理工作中发生重大过失，造成保险公司产生损失的，保险公司有权向风险管理机构进行索赔，赔偿方式及金额由保险公司与风险管理机构协商后在合同中约定。</w:t>
      </w:r>
    </w:p>
    <w:p w14:paraId="7E0B4910">
      <w:pPr>
        <w:pStyle w:val="6"/>
        <w:widowControl w:val="0"/>
        <w:kinsoku/>
        <w:spacing w:line="360" w:lineRule="auto"/>
        <w:ind w:left="5" w:right="74" w:firstLine="651"/>
        <w:jc w:val="both"/>
        <w:rPr>
          <w:color w:val="auto"/>
          <w:lang w:eastAsia="zh-CN"/>
        </w:rPr>
      </w:pPr>
      <w:r>
        <w:rPr>
          <w:b/>
          <w:bCs/>
          <w:color w:val="auto"/>
          <w:spacing w:val="2"/>
          <w:lang w:eastAsia="zh-CN"/>
        </w:rPr>
        <w:t>第</w:t>
      </w:r>
      <w:r>
        <w:rPr>
          <w:rFonts w:hint="eastAsia"/>
          <w:b/>
          <w:bCs/>
          <w:color w:val="auto"/>
          <w:spacing w:val="2"/>
          <w:lang w:eastAsia="zh-CN"/>
        </w:rPr>
        <w:t>十五</w:t>
      </w:r>
      <w:r>
        <w:rPr>
          <w:b/>
          <w:bCs/>
          <w:color w:val="auto"/>
          <w:spacing w:val="2"/>
          <w:lang w:eastAsia="zh-CN"/>
        </w:rPr>
        <w:t>条</w:t>
      </w:r>
      <w:r>
        <w:rPr>
          <w:rFonts w:hint="eastAsia"/>
          <w:b/>
          <w:bCs/>
          <w:color w:val="auto"/>
          <w:spacing w:val="2"/>
          <w:lang w:eastAsia="zh-CN"/>
        </w:rPr>
        <w:t xml:space="preserve"> </w:t>
      </w:r>
      <w:r>
        <w:rPr>
          <w:rFonts w:hint="eastAsia"/>
          <w:color w:val="auto"/>
          <w:lang w:eastAsia="zh-CN"/>
        </w:rPr>
        <w:t>风险管理</w:t>
      </w:r>
      <w:r>
        <w:rPr>
          <w:color w:val="auto"/>
          <w:lang w:eastAsia="zh-CN"/>
        </w:rPr>
        <w:t>机构应当根据与</w:t>
      </w:r>
      <w:r>
        <w:rPr>
          <w:rFonts w:hint="eastAsia"/>
          <w:color w:val="auto"/>
          <w:lang w:eastAsia="zh-CN"/>
        </w:rPr>
        <w:t>保险</w:t>
      </w:r>
      <w:r>
        <w:rPr>
          <w:color w:val="auto"/>
          <w:lang w:eastAsia="zh-CN"/>
        </w:rPr>
        <w:t>公司签订的风险管理合同约定，对</w:t>
      </w:r>
      <w:r>
        <w:rPr>
          <w:rFonts w:hint="eastAsia"/>
          <w:color w:val="auto"/>
          <w:lang w:eastAsia="zh-CN"/>
        </w:rPr>
        <w:t>保险</w:t>
      </w:r>
      <w:r>
        <w:rPr>
          <w:color w:val="auto"/>
          <w:lang w:eastAsia="zh-CN"/>
        </w:rPr>
        <w:t>公司拟承保项目设置专职的风险管理项目负责人，授权其开展风险管理工作。</w:t>
      </w:r>
    </w:p>
    <w:p w14:paraId="5891861C">
      <w:pPr>
        <w:pStyle w:val="6"/>
        <w:widowControl w:val="0"/>
        <w:kinsoku/>
        <w:spacing w:line="360" w:lineRule="auto"/>
        <w:ind w:left="8" w:right="74" w:firstLine="640"/>
        <w:jc w:val="both"/>
        <w:rPr>
          <w:color w:val="auto"/>
          <w:lang w:eastAsia="zh-CN"/>
        </w:rPr>
      </w:pPr>
      <w:r>
        <w:rPr>
          <w:rFonts w:hint="eastAsia"/>
          <w:color w:val="auto"/>
          <w:lang w:eastAsia="zh-CN"/>
        </w:rPr>
        <w:t>风险管理</w:t>
      </w:r>
      <w:r>
        <w:rPr>
          <w:color w:val="auto"/>
          <w:lang w:eastAsia="zh-CN"/>
        </w:rPr>
        <w:t>机构项目负责人应当由取得</w:t>
      </w:r>
      <w:r>
        <w:rPr>
          <w:rFonts w:hint="eastAsia"/>
          <w:color w:val="auto"/>
          <w:lang w:eastAsia="zh-CN"/>
        </w:rPr>
        <w:t>高级工程师职称</w:t>
      </w:r>
      <w:r>
        <w:rPr>
          <w:color w:val="auto"/>
          <w:lang w:eastAsia="zh-CN"/>
        </w:rPr>
        <w:t>的专业技术人员担任，</w:t>
      </w:r>
      <w:r>
        <w:rPr>
          <w:rFonts w:hint="eastAsia"/>
          <w:color w:val="auto"/>
          <w:shd w:val="clear"/>
          <w:lang w:val="en-US" w:eastAsia="zh-CN"/>
        </w:rPr>
        <w:t>并</w:t>
      </w:r>
      <w:r>
        <w:rPr>
          <w:rFonts w:hint="eastAsia"/>
          <w:color w:val="auto"/>
          <w:shd w:val="clear"/>
          <w:lang w:eastAsia="zh-CN"/>
        </w:rPr>
        <w:t>具有10年以上从事工程建设管理工作</w:t>
      </w:r>
      <w:r>
        <w:rPr>
          <w:color w:val="auto"/>
          <w:lang w:eastAsia="zh-CN"/>
        </w:rPr>
        <w:t>的经历。项目负责人应当按照技术规范要求以及合同约定，在拟承保</w:t>
      </w:r>
      <w:r>
        <w:rPr>
          <w:rFonts w:hint="eastAsia"/>
          <w:color w:val="auto"/>
          <w:lang w:val="en-US" w:eastAsia="zh-CN"/>
        </w:rPr>
        <w:t>住宅</w:t>
      </w:r>
      <w:r>
        <w:rPr>
          <w:color w:val="auto"/>
          <w:lang w:eastAsia="zh-CN"/>
        </w:rPr>
        <w:t>工程项目中履行风险管理职责。</w:t>
      </w:r>
      <w:r>
        <w:rPr>
          <w:rFonts w:hint="eastAsia"/>
          <w:color w:val="auto"/>
          <w:lang w:eastAsia="zh-CN"/>
        </w:rPr>
        <w:t>项目负责人一经确定不得随意更换，风险管理</w:t>
      </w:r>
      <w:r>
        <w:rPr>
          <w:color w:val="auto"/>
          <w:lang w:eastAsia="zh-CN"/>
        </w:rPr>
        <w:t>机构确因正当事由需更换项目负责人的，应征得</w:t>
      </w:r>
      <w:r>
        <w:rPr>
          <w:rFonts w:hint="eastAsia"/>
          <w:color w:val="auto"/>
          <w:lang w:eastAsia="zh-CN"/>
        </w:rPr>
        <w:t>保险</w:t>
      </w:r>
      <w:r>
        <w:rPr>
          <w:color w:val="auto"/>
          <w:lang w:eastAsia="zh-CN"/>
        </w:rPr>
        <w:t>公司书面确认。</w:t>
      </w:r>
    </w:p>
    <w:p w14:paraId="5DBE5B5E">
      <w:pPr>
        <w:pStyle w:val="6"/>
        <w:widowControl w:val="0"/>
        <w:kinsoku/>
        <w:spacing w:line="360" w:lineRule="auto"/>
        <w:ind w:left="8" w:right="74" w:firstLine="651"/>
        <w:jc w:val="both"/>
        <w:rPr>
          <w:color w:val="auto"/>
          <w:lang w:eastAsia="zh-CN"/>
        </w:rPr>
      </w:pPr>
      <w:r>
        <w:rPr>
          <w:b/>
          <w:bCs/>
          <w:color w:val="auto"/>
          <w:spacing w:val="2"/>
          <w:lang w:eastAsia="zh-CN"/>
        </w:rPr>
        <w:t>第</w:t>
      </w:r>
      <w:r>
        <w:rPr>
          <w:rFonts w:hint="eastAsia"/>
          <w:b/>
          <w:bCs/>
          <w:color w:val="auto"/>
          <w:spacing w:val="2"/>
          <w:lang w:eastAsia="zh-CN"/>
        </w:rPr>
        <w:t>十六</w:t>
      </w:r>
      <w:r>
        <w:rPr>
          <w:b/>
          <w:bCs/>
          <w:color w:val="auto"/>
          <w:spacing w:val="2"/>
          <w:lang w:eastAsia="zh-CN"/>
        </w:rPr>
        <w:t>条</w:t>
      </w:r>
      <w:r>
        <w:rPr>
          <w:rFonts w:hint="eastAsia"/>
          <w:b/>
          <w:bCs/>
          <w:color w:val="auto"/>
          <w:spacing w:val="2"/>
          <w:lang w:eastAsia="zh-CN"/>
        </w:rPr>
        <w:t xml:space="preserve"> </w:t>
      </w:r>
      <w:r>
        <w:rPr>
          <w:rFonts w:hint="eastAsia"/>
          <w:color w:val="auto"/>
          <w:lang w:eastAsia="zh-CN"/>
        </w:rPr>
        <w:t>鼓励风险管理机构创新风险管理手段，将风险管控新技术应用于质量风险识别、分析、评估、预防、检测上，并向参建单位推广好做法与新技术，降低施工质量风险。</w:t>
      </w:r>
    </w:p>
    <w:p w14:paraId="6856F850">
      <w:pPr>
        <w:pStyle w:val="6"/>
        <w:widowControl w:val="0"/>
        <w:kinsoku/>
        <w:spacing w:line="360" w:lineRule="auto"/>
        <w:ind w:left="8" w:right="73" w:firstLine="651"/>
        <w:rPr>
          <w:color w:val="auto"/>
          <w:lang w:eastAsia="zh-CN"/>
        </w:rPr>
      </w:pPr>
      <w:r>
        <w:rPr>
          <w:rFonts w:hint="eastAsia"/>
          <w:b/>
          <w:bCs/>
          <w:color w:val="auto"/>
          <w:spacing w:val="2"/>
          <w:lang w:eastAsia="zh-CN"/>
        </w:rPr>
        <w:t xml:space="preserve">第十七条 </w:t>
      </w:r>
      <w:r>
        <w:rPr>
          <w:rFonts w:hint="eastAsia"/>
          <w:color w:val="auto"/>
          <w:lang w:eastAsia="zh-CN"/>
        </w:rPr>
        <w:t>风险管理机构不得有下列行为，否则保险公司有权解除风险管理合同，由此引起的损失由风险管理机构承担：</w:t>
      </w:r>
    </w:p>
    <w:p w14:paraId="49648AC3">
      <w:pPr>
        <w:pStyle w:val="6"/>
        <w:widowControl w:val="0"/>
        <w:kinsoku/>
        <w:spacing w:line="360" w:lineRule="auto"/>
        <w:ind w:left="8" w:right="73" w:firstLine="640"/>
        <w:rPr>
          <w:color w:val="auto"/>
          <w:lang w:eastAsia="zh-CN"/>
        </w:rPr>
      </w:pPr>
      <w:r>
        <w:rPr>
          <w:rFonts w:hint="eastAsia"/>
          <w:color w:val="auto"/>
          <w:lang w:eastAsia="zh-CN"/>
        </w:rPr>
        <w:t>（1）转包、分包质量风险管理业务；</w:t>
      </w:r>
    </w:p>
    <w:p w14:paraId="1CBF5EEB">
      <w:pPr>
        <w:pStyle w:val="6"/>
        <w:widowControl w:val="0"/>
        <w:kinsoku/>
        <w:spacing w:line="360" w:lineRule="auto"/>
        <w:ind w:left="8" w:right="73" w:firstLine="640"/>
        <w:rPr>
          <w:color w:val="auto"/>
          <w:lang w:eastAsia="zh-CN"/>
        </w:rPr>
      </w:pPr>
      <w:r>
        <w:rPr>
          <w:rFonts w:hint="eastAsia"/>
          <w:color w:val="auto"/>
          <w:lang w:eastAsia="zh-CN"/>
        </w:rPr>
        <w:t>（2）与已投保建设工程的参建单位（包括其集团公司及下级公司）存有利害关系及其他可能影响公正性的情况，直接或间接参与该工程的勘察、设计、施工、监理、材料供应、检测等工作；</w:t>
      </w:r>
    </w:p>
    <w:p w14:paraId="594C737B">
      <w:pPr>
        <w:pStyle w:val="6"/>
        <w:widowControl w:val="0"/>
        <w:kinsoku/>
        <w:spacing w:line="360" w:lineRule="auto"/>
        <w:ind w:left="8" w:right="73" w:firstLine="640"/>
        <w:rPr>
          <w:color w:val="auto"/>
          <w:lang w:eastAsia="zh-CN"/>
        </w:rPr>
      </w:pPr>
      <w:r>
        <w:rPr>
          <w:rFonts w:hint="eastAsia"/>
          <w:color w:val="auto"/>
          <w:lang w:eastAsia="zh-CN"/>
        </w:rPr>
        <w:t>（3）以任何形式允许其他单位和个人以本机构名义承接质量风险管理业务；</w:t>
      </w:r>
    </w:p>
    <w:p w14:paraId="4BC233F9">
      <w:pPr>
        <w:pStyle w:val="6"/>
        <w:widowControl w:val="0"/>
        <w:kinsoku/>
        <w:spacing w:line="360" w:lineRule="auto"/>
        <w:ind w:left="8" w:right="73" w:firstLine="640"/>
        <w:rPr>
          <w:color w:val="auto"/>
          <w:lang w:eastAsia="zh-CN"/>
        </w:rPr>
      </w:pPr>
      <w:r>
        <w:rPr>
          <w:rFonts w:hint="eastAsia"/>
          <w:color w:val="auto"/>
          <w:lang w:eastAsia="zh-CN"/>
        </w:rPr>
        <w:t>（4）恶意报价竞争等扰乱市场的其他违法违规行为。</w:t>
      </w:r>
    </w:p>
    <w:p w14:paraId="0862A73F">
      <w:pPr>
        <w:pStyle w:val="3"/>
        <w:spacing w:line="240" w:lineRule="auto"/>
        <w:jc w:val="center"/>
        <w:rPr>
          <w:lang w:eastAsia="zh-CN"/>
        </w:rPr>
      </w:pPr>
      <w:r>
        <w:rPr>
          <w:rFonts w:hint="eastAsia"/>
          <w:lang w:eastAsia="zh-CN"/>
        </w:rPr>
        <w:t>第四章 风险管理机构的评估及考核</w:t>
      </w:r>
    </w:p>
    <w:p w14:paraId="37A22A6B">
      <w:pPr>
        <w:pStyle w:val="6"/>
        <w:widowControl w:val="0"/>
        <w:kinsoku/>
        <w:spacing w:line="360" w:lineRule="auto"/>
        <w:ind w:left="8" w:right="73" w:firstLine="651"/>
        <w:rPr>
          <w:color w:val="auto"/>
          <w:lang w:eastAsia="zh-CN"/>
        </w:rPr>
      </w:pPr>
      <w:r>
        <w:rPr>
          <w:rFonts w:hint="eastAsia"/>
          <w:b/>
          <w:bCs/>
          <w:color w:val="auto"/>
          <w:spacing w:val="2"/>
          <w:lang w:eastAsia="zh-CN"/>
        </w:rPr>
        <w:t xml:space="preserve">第十八条 </w:t>
      </w:r>
      <w:r>
        <w:rPr>
          <w:rFonts w:hint="eastAsia"/>
          <w:color w:val="auto"/>
          <w:lang w:eastAsia="zh-CN"/>
        </w:rPr>
        <w:t>基于风险管理机构对项目全过程风险管理工作质量，主承保公司依据</w:t>
      </w:r>
      <w:r>
        <w:rPr>
          <w:rFonts w:hint="eastAsia"/>
          <w:color w:val="auto"/>
          <w:lang w:val="en-US" w:eastAsia="zh-CN"/>
        </w:rPr>
        <w:t>相关考核细则定期</w:t>
      </w:r>
      <w:r>
        <w:rPr>
          <w:rFonts w:hint="eastAsia"/>
          <w:color w:val="auto"/>
          <w:lang w:eastAsia="zh-CN"/>
        </w:rPr>
        <w:t>对风险管理机构所有项目风险管理工作进行</w:t>
      </w:r>
      <w:r>
        <w:rPr>
          <w:rFonts w:hint="eastAsia"/>
          <w:color w:val="auto"/>
          <w:lang w:val="en-US" w:eastAsia="zh-CN"/>
        </w:rPr>
        <w:t>评价</w:t>
      </w:r>
      <w:r>
        <w:rPr>
          <w:rFonts w:hint="eastAsia"/>
          <w:color w:val="auto"/>
          <w:lang w:eastAsia="zh-CN"/>
        </w:rPr>
        <w:t>。质量保险分会综合各主承保公司</w:t>
      </w:r>
      <w:r>
        <w:rPr>
          <w:rFonts w:hint="eastAsia"/>
          <w:color w:val="auto"/>
          <w:lang w:val="en-US" w:eastAsia="zh-CN"/>
        </w:rPr>
        <w:t>评价成绩</w:t>
      </w:r>
      <w:r>
        <w:rPr>
          <w:rFonts w:hint="eastAsia"/>
          <w:color w:val="auto"/>
          <w:lang w:eastAsia="zh-CN"/>
        </w:rPr>
        <w:t>，得出各风险管理机构最终结果，</w:t>
      </w:r>
      <w:r>
        <w:rPr>
          <w:rFonts w:hint="eastAsia"/>
          <w:color w:val="auto"/>
          <w:lang w:val="en-US" w:eastAsia="zh-CN"/>
        </w:rPr>
        <w:t>并将结果报送住建部门</w:t>
      </w:r>
      <w:r>
        <w:rPr>
          <w:rFonts w:hint="eastAsia"/>
          <w:color w:val="auto"/>
          <w:lang w:eastAsia="zh-CN"/>
        </w:rPr>
        <w:t>。</w:t>
      </w:r>
    </w:p>
    <w:p w14:paraId="49525FD2">
      <w:pPr>
        <w:widowControl w:val="0"/>
        <w:kinsoku/>
        <w:spacing w:line="360" w:lineRule="auto"/>
        <w:ind w:firstLine="651" w:firstLineChars="200"/>
        <w:rPr>
          <w:rFonts w:ascii="仿宋" w:hAnsi="仿宋" w:eastAsia="仿宋" w:cs="仿宋"/>
          <w:b/>
          <w:bCs/>
          <w:color w:val="auto"/>
          <w:spacing w:val="2"/>
          <w:sz w:val="32"/>
          <w:szCs w:val="31"/>
          <w:lang w:eastAsia="zh-CN"/>
        </w:rPr>
      </w:pPr>
      <w:bookmarkStart w:id="2" w:name="bookmark9"/>
      <w:bookmarkEnd w:id="2"/>
      <w:r>
        <w:rPr>
          <w:rFonts w:hint="eastAsia" w:ascii="仿宋" w:hAnsi="仿宋" w:eastAsia="仿宋" w:cs="仿宋"/>
          <w:b/>
          <w:bCs/>
          <w:color w:val="auto"/>
          <w:spacing w:val="2"/>
          <w:sz w:val="32"/>
          <w:szCs w:val="31"/>
          <w:lang w:eastAsia="zh-CN"/>
        </w:rPr>
        <w:t>第</w:t>
      </w:r>
      <w:r>
        <w:rPr>
          <w:rFonts w:hint="eastAsia" w:ascii="仿宋" w:hAnsi="仿宋" w:eastAsia="仿宋" w:cs="仿宋"/>
          <w:b/>
          <w:bCs/>
          <w:color w:val="auto"/>
          <w:spacing w:val="2"/>
          <w:sz w:val="32"/>
          <w:szCs w:val="31"/>
          <w:lang w:val="en-US" w:eastAsia="zh-CN"/>
        </w:rPr>
        <w:t>十九</w:t>
      </w:r>
      <w:r>
        <w:rPr>
          <w:rFonts w:hint="eastAsia" w:ascii="仿宋" w:hAnsi="仿宋" w:eastAsia="仿宋" w:cs="仿宋"/>
          <w:b/>
          <w:bCs/>
          <w:color w:val="auto"/>
          <w:spacing w:val="2"/>
          <w:sz w:val="32"/>
          <w:szCs w:val="31"/>
          <w:lang w:eastAsia="zh-CN"/>
        </w:rPr>
        <w:t>条 风险管理机构淘汰机制</w:t>
      </w:r>
    </w:p>
    <w:p w14:paraId="4D3B564D">
      <w:pPr>
        <w:pStyle w:val="6"/>
        <w:widowControl w:val="0"/>
        <w:kinsoku/>
        <w:spacing w:line="360" w:lineRule="auto"/>
        <w:ind w:firstLine="640"/>
        <w:rPr>
          <w:color w:val="auto"/>
          <w:lang w:eastAsia="zh-CN"/>
        </w:rPr>
      </w:pPr>
      <w:r>
        <w:rPr>
          <w:rFonts w:hint="eastAsia"/>
          <w:color w:val="auto"/>
          <w:lang w:eastAsia="zh-CN"/>
        </w:rPr>
        <w:t>（一）对工作质量不能满足相关工作规范要求或因自身原因不能履行合同义务的风险管理机</w:t>
      </w:r>
      <w:r>
        <w:rPr>
          <w:color w:val="auto"/>
          <w:lang w:eastAsia="zh-CN"/>
        </w:rPr>
        <w:t>构</w:t>
      </w:r>
      <w:r>
        <w:rPr>
          <w:rFonts w:hint="eastAsia"/>
          <w:color w:val="auto"/>
          <w:lang w:eastAsia="zh-CN"/>
        </w:rPr>
        <w:t>，质量保险分会</w:t>
      </w:r>
      <w:r>
        <w:rPr>
          <w:color w:val="auto"/>
          <w:lang w:eastAsia="zh-CN"/>
        </w:rPr>
        <w:t>将该</w:t>
      </w:r>
      <w:r>
        <w:rPr>
          <w:rFonts w:hint="eastAsia"/>
          <w:color w:val="auto"/>
          <w:lang w:eastAsia="zh-CN"/>
        </w:rPr>
        <w:t>风险管理</w:t>
      </w:r>
      <w:r>
        <w:rPr>
          <w:color w:val="auto"/>
          <w:lang w:eastAsia="zh-CN"/>
        </w:rPr>
        <w:t>机构列入重点观察企业名单。对于拒不整改的</w:t>
      </w:r>
      <w:r>
        <w:rPr>
          <w:rFonts w:hint="eastAsia"/>
          <w:color w:val="auto"/>
          <w:lang w:eastAsia="zh-CN"/>
        </w:rPr>
        <w:t>风险管理</w:t>
      </w:r>
      <w:r>
        <w:rPr>
          <w:color w:val="auto"/>
          <w:lang w:eastAsia="zh-CN"/>
        </w:rPr>
        <w:t>机构，</w:t>
      </w:r>
      <w:r>
        <w:rPr>
          <w:rFonts w:hint="eastAsia"/>
          <w:color w:val="auto"/>
          <w:lang w:eastAsia="zh-CN"/>
        </w:rPr>
        <w:t>质量保险分会将其</w:t>
      </w:r>
      <w:r>
        <w:rPr>
          <w:color w:val="auto"/>
          <w:lang w:eastAsia="zh-CN"/>
        </w:rPr>
        <w:t>移除出库。</w:t>
      </w:r>
    </w:p>
    <w:p w14:paraId="00C1EB9C">
      <w:pPr>
        <w:pStyle w:val="6"/>
        <w:widowControl w:val="0"/>
        <w:kinsoku/>
        <w:spacing w:line="360" w:lineRule="auto"/>
        <w:ind w:left="2" w:firstLine="640"/>
        <w:jc w:val="both"/>
        <w:rPr>
          <w:color w:val="auto"/>
          <w:lang w:eastAsia="zh-CN"/>
        </w:rPr>
      </w:pPr>
      <w:r>
        <w:rPr>
          <w:color w:val="auto"/>
          <w:lang w:eastAsia="zh-CN"/>
        </w:rPr>
        <w:t>（二）如工程项目发生严重质量事故</w:t>
      </w:r>
      <w:r>
        <w:rPr>
          <w:rFonts w:hint="eastAsia"/>
          <w:color w:val="auto"/>
          <w:lang w:eastAsia="zh-CN"/>
        </w:rPr>
        <w:t>造成较大及以上事故，事故等级划分参照《关于做好房屋建筑和市政基础设施工程质量事故报告和调查处理工作的通知》（ 建质〔2010〕</w:t>
      </w:r>
      <w:r>
        <w:rPr>
          <w:color w:val="auto"/>
          <w:lang w:eastAsia="zh-CN"/>
        </w:rPr>
        <w:t>111</w:t>
      </w:r>
      <w:r>
        <w:rPr>
          <w:rFonts w:hint="eastAsia"/>
          <w:color w:val="auto"/>
          <w:lang w:eastAsia="zh-CN"/>
        </w:rPr>
        <w:t>号文件）</w:t>
      </w:r>
      <w:r>
        <w:rPr>
          <w:color w:val="auto"/>
          <w:lang w:eastAsia="zh-CN"/>
        </w:rPr>
        <w:t>，</w:t>
      </w:r>
      <w:r>
        <w:rPr>
          <w:rFonts w:hint="eastAsia"/>
          <w:color w:val="auto"/>
          <w:lang w:eastAsia="zh-CN"/>
        </w:rPr>
        <w:t>风险管理</w:t>
      </w:r>
      <w:r>
        <w:rPr>
          <w:color w:val="auto"/>
          <w:lang w:eastAsia="zh-CN"/>
        </w:rPr>
        <w:t>机构未发现相关质量问题，</w:t>
      </w:r>
      <w:r>
        <w:rPr>
          <w:rFonts w:hint="eastAsia"/>
          <w:color w:val="auto"/>
          <w:lang w:eastAsia="zh-CN"/>
        </w:rPr>
        <w:t>质量保险分会</w:t>
      </w:r>
      <w:r>
        <w:rPr>
          <w:color w:val="auto"/>
          <w:lang w:eastAsia="zh-CN"/>
        </w:rPr>
        <w:t>将该</w:t>
      </w:r>
      <w:r>
        <w:rPr>
          <w:rFonts w:hint="eastAsia"/>
          <w:color w:val="auto"/>
          <w:lang w:eastAsia="zh-CN"/>
        </w:rPr>
        <w:t>风险管理</w:t>
      </w:r>
      <w:r>
        <w:rPr>
          <w:color w:val="auto"/>
          <w:lang w:eastAsia="zh-CN"/>
        </w:rPr>
        <w:t>机构移除出库。</w:t>
      </w:r>
    </w:p>
    <w:p w14:paraId="23846776">
      <w:pPr>
        <w:pStyle w:val="6"/>
        <w:widowControl w:val="0"/>
        <w:kinsoku/>
        <w:spacing w:line="360" w:lineRule="auto"/>
        <w:ind w:left="2" w:firstLine="651"/>
        <w:jc w:val="both"/>
        <w:rPr>
          <w:color w:val="auto"/>
          <w:lang w:eastAsia="zh-CN"/>
        </w:rPr>
      </w:pPr>
      <w:r>
        <w:rPr>
          <w:rFonts w:hint="eastAsia"/>
          <w:b/>
          <w:bCs/>
          <w:color w:val="auto"/>
          <w:spacing w:val="2"/>
          <w:lang w:eastAsia="zh-CN"/>
        </w:rPr>
        <w:t xml:space="preserve">第二十条 </w:t>
      </w:r>
      <w:r>
        <w:rPr>
          <w:rFonts w:hint="eastAsia"/>
          <w:color w:val="auto"/>
          <w:lang w:eastAsia="zh-CN"/>
        </w:rPr>
        <w:t>杭州市建设行政</w:t>
      </w:r>
      <w:r>
        <w:rPr>
          <w:rFonts w:hint="eastAsia"/>
          <w:color w:val="auto"/>
          <w:lang w:val="en-US" w:eastAsia="zh-CN"/>
        </w:rPr>
        <w:t>主管</w:t>
      </w:r>
      <w:r>
        <w:rPr>
          <w:rFonts w:hint="eastAsia"/>
          <w:color w:val="auto"/>
          <w:lang w:eastAsia="zh-CN"/>
        </w:rPr>
        <w:t>部门和其他有关部门，将记载、公示风险管理机构及项目负责人等从业人员的信用信息，加强对失信单位和失信人员的监管，并对信用良好的机构和人员实施激励措施。</w:t>
      </w:r>
    </w:p>
    <w:p w14:paraId="7FD14918">
      <w:pPr>
        <w:pStyle w:val="6"/>
        <w:widowControl w:val="0"/>
        <w:kinsoku/>
        <w:spacing w:line="360" w:lineRule="auto"/>
        <w:ind w:left="2" w:firstLine="651"/>
        <w:jc w:val="both"/>
        <w:rPr>
          <w:color w:val="auto"/>
          <w:spacing w:val="2"/>
          <w:highlight w:val="yellow"/>
          <w:lang w:eastAsia="zh-CN"/>
        </w:rPr>
      </w:pPr>
      <w:bookmarkStart w:id="3" w:name="bookmark11"/>
      <w:bookmarkEnd w:id="3"/>
      <w:r>
        <w:rPr>
          <w:rFonts w:hint="eastAsia"/>
          <w:b/>
          <w:bCs/>
          <w:color w:val="auto"/>
          <w:spacing w:val="2"/>
          <w:lang w:eastAsia="zh-CN"/>
        </w:rPr>
        <w:t>第二十</w:t>
      </w:r>
      <w:r>
        <w:rPr>
          <w:rFonts w:hint="eastAsia"/>
          <w:b/>
          <w:bCs/>
          <w:color w:val="auto"/>
          <w:spacing w:val="2"/>
          <w:lang w:val="en-US" w:eastAsia="zh-CN"/>
        </w:rPr>
        <w:t>一</w:t>
      </w:r>
      <w:r>
        <w:rPr>
          <w:rFonts w:hint="eastAsia"/>
          <w:b/>
          <w:bCs/>
          <w:color w:val="auto"/>
          <w:spacing w:val="2"/>
          <w:lang w:eastAsia="zh-CN"/>
        </w:rPr>
        <w:t xml:space="preserve">条 </w:t>
      </w:r>
      <w:r>
        <w:rPr>
          <w:rFonts w:hint="eastAsia"/>
          <w:color w:val="auto"/>
          <w:spacing w:val="2"/>
          <w:lang w:eastAsia="zh-CN"/>
        </w:rPr>
        <w:t>本</w:t>
      </w:r>
      <w:r>
        <w:rPr>
          <w:rFonts w:hint="eastAsia"/>
          <w:color w:val="auto"/>
          <w:spacing w:val="2"/>
          <w:lang w:val="en-US" w:eastAsia="zh-CN"/>
        </w:rPr>
        <w:t>办法</w:t>
      </w:r>
      <w:r>
        <w:rPr>
          <w:rFonts w:hint="eastAsia"/>
          <w:color w:val="auto"/>
          <w:spacing w:val="2"/>
          <w:lang w:eastAsia="zh-CN"/>
        </w:rPr>
        <w:t>由杭州市建设工程质量安全管理协会质量保险分会通过并负责</w:t>
      </w:r>
      <w:r>
        <w:rPr>
          <w:rFonts w:hint="eastAsia"/>
          <w:color w:val="auto"/>
          <w:spacing w:val="2"/>
          <w:highlight w:val="none"/>
          <w:lang w:eastAsia="zh-CN"/>
        </w:rPr>
        <w:t>解释。自202</w:t>
      </w:r>
      <w:r>
        <w:rPr>
          <w:color w:val="auto"/>
          <w:spacing w:val="2"/>
          <w:highlight w:val="none"/>
          <w:lang w:eastAsia="zh-CN"/>
        </w:rPr>
        <w:t>4</w:t>
      </w:r>
      <w:r>
        <w:rPr>
          <w:rFonts w:hint="eastAsia"/>
          <w:color w:val="auto"/>
          <w:spacing w:val="2"/>
          <w:highlight w:val="none"/>
          <w:lang w:eastAsia="zh-CN"/>
        </w:rPr>
        <w:t>年3月1日起施行，有效期至2024年12月31日。</w:t>
      </w:r>
    </w:p>
    <w:p w14:paraId="47C6A378">
      <w:pPr>
        <w:pStyle w:val="6"/>
        <w:widowControl w:val="0"/>
        <w:kinsoku/>
        <w:spacing w:line="360" w:lineRule="auto"/>
        <w:ind w:left="2" w:firstLine="648"/>
        <w:jc w:val="both"/>
        <w:rPr>
          <w:color w:val="auto"/>
          <w:spacing w:val="2"/>
          <w:lang w:eastAsia="zh-CN"/>
        </w:rPr>
      </w:pPr>
    </w:p>
    <w:p w14:paraId="2E55049B">
      <w:pPr>
        <w:pStyle w:val="6"/>
        <w:widowControl w:val="0"/>
        <w:kinsoku/>
        <w:spacing w:line="360" w:lineRule="auto"/>
        <w:ind w:left="2" w:firstLine="648"/>
        <w:jc w:val="both"/>
        <w:rPr>
          <w:color w:val="auto"/>
          <w:spacing w:val="2"/>
          <w:lang w:eastAsia="zh-CN"/>
        </w:rPr>
      </w:pPr>
      <w:r>
        <w:rPr>
          <w:rFonts w:hint="eastAsia"/>
          <w:color w:val="auto"/>
          <w:spacing w:val="2"/>
          <w:lang w:eastAsia="zh-CN"/>
        </w:rPr>
        <w:t>附件1</w:t>
      </w:r>
      <w:r>
        <w:rPr>
          <w:color w:val="auto"/>
          <w:spacing w:val="2"/>
          <w:lang w:eastAsia="zh-CN"/>
        </w:rPr>
        <w:t xml:space="preserve"> </w:t>
      </w:r>
      <w:r>
        <w:rPr>
          <w:rFonts w:hint="eastAsia"/>
          <w:color w:val="auto"/>
          <w:spacing w:val="2"/>
          <w:lang w:eastAsia="zh-CN"/>
        </w:rPr>
        <w:t>杭州市住宅工程质量风险管理合同格式文本</w:t>
      </w:r>
    </w:p>
    <w:p w14:paraId="1D91476D">
      <w:pPr>
        <w:pStyle w:val="6"/>
        <w:widowControl w:val="0"/>
        <w:kinsoku/>
        <w:spacing w:line="360" w:lineRule="auto"/>
        <w:ind w:left="2" w:firstLine="648"/>
        <w:jc w:val="both"/>
        <w:rPr>
          <w:rFonts w:ascii="仿宋" w:hAnsi="仿宋" w:eastAsia="仿宋" w:cs="仿宋"/>
          <w:color w:val="auto"/>
          <w:lang w:eastAsia="zh-CN"/>
        </w:rPr>
      </w:pPr>
      <w:r>
        <w:rPr>
          <w:rFonts w:hint="eastAsia"/>
          <w:color w:val="auto"/>
          <w:spacing w:val="2"/>
          <w:lang w:eastAsia="zh-CN"/>
        </w:rPr>
        <w:t>附件2</w:t>
      </w:r>
      <w:r>
        <w:rPr>
          <w:color w:val="auto"/>
          <w:spacing w:val="2"/>
          <w:lang w:eastAsia="zh-CN"/>
        </w:rPr>
        <w:t xml:space="preserve"> </w:t>
      </w:r>
      <w:r>
        <w:rPr>
          <w:rFonts w:hint="eastAsia"/>
          <w:color w:val="auto"/>
          <w:spacing w:val="2"/>
          <w:lang w:eastAsia="zh-CN"/>
        </w:rPr>
        <w:t>杭州市住宅工程质量潜在缺陷保险风险管理机构服务工作手册</w:t>
      </w:r>
    </w:p>
    <w:sectPr>
      <w:headerReference r:id="rId3" w:type="default"/>
      <w:footerReference r:id="rId4" w:type="default"/>
      <w:pgSz w:w="11900" w:h="16820"/>
      <w:pgMar w:top="1540" w:right="1560" w:bottom="1580" w:left="1680" w:header="0" w:footer="1134" w:gutter="0"/>
      <w:pgNumType w:start="47"/>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书宋_GBK">
    <w:altName w:val="Arial Unicode MS"/>
    <w:panose1 w:val="02000000000000000000"/>
    <w:charset w:val="86"/>
    <w:family w:val="swiss"/>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C877">
    <w:pPr>
      <w:pStyle w:val="6"/>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0C24DC">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00C24DC">
                    <w:pPr>
                      <w:pStyle w:val="7"/>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1012">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OGI1NzZmYWU5MWMxMjY5ZWNjZWJhYWM2NjcxNWYifQ=="/>
  </w:docVars>
  <w:rsids>
    <w:rsidRoot w:val="00364820"/>
    <w:rsid w:val="000349DC"/>
    <w:rsid w:val="00034EC2"/>
    <w:rsid w:val="00066781"/>
    <w:rsid w:val="000B0D79"/>
    <w:rsid w:val="000B6C52"/>
    <w:rsid w:val="0013456F"/>
    <w:rsid w:val="00154ABF"/>
    <w:rsid w:val="00163309"/>
    <w:rsid w:val="001C5A8E"/>
    <w:rsid w:val="002252CE"/>
    <w:rsid w:val="002A6486"/>
    <w:rsid w:val="00304874"/>
    <w:rsid w:val="00364820"/>
    <w:rsid w:val="003C32F7"/>
    <w:rsid w:val="0044134D"/>
    <w:rsid w:val="004853BB"/>
    <w:rsid w:val="00486EC6"/>
    <w:rsid w:val="004C071F"/>
    <w:rsid w:val="004E1240"/>
    <w:rsid w:val="004F7593"/>
    <w:rsid w:val="00541A24"/>
    <w:rsid w:val="00576E1B"/>
    <w:rsid w:val="00596FF6"/>
    <w:rsid w:val="005A24DD"/>
    <w:rsid w:val="00637B73"/>
    <w:rsid w:val="006622EB"/>
    <w:rsid w:val="00694840"/>
    <w:rsid w:val="006C4465"/>
    <w:rsid w:val="006D3CEE"/>
    <w:rsid w:val="007D3EA5"/>
    <w:rsid w:val="008412B1"/>
    <w:rsid w:val="008868DF"/>
    <w:rsid w:val="00886E69"/>
    <w:rsid w:val="0089791B"/>
    <w:rsid w:val="008C5207"/>
    <w:rsid w:val="008F1CF8"/>
    <w:rsid w:val="0098279E"/>
    <w:rsid w:val="009D376B"/>
    <w:rsid w:val="00A24C73"/>
    <w:rsid w:val="00A37D8A"/>
    <w:rsid w:val="00A50551"/>
    <w:rsid w:val="00A538A4"/>
    <w:rsid w:val="00A77A39"/>
    <w:rsid w:val="00B05FD8"/>
    <w:rsid w:val="00B340FF"/>
    <w:rsid w:val="00B93B16"/>
    <w:rsid w:val="00BA0AF8"/>
    <w:rsid w:val="00BC0B60"/>
    <w:rsid w:val="00BC56BB"/>
    <w:rsid w:val="00C02755"/>
    <w:rsid w:val="00C33966"/>
    <w:rsid w:val="00C37A1E"/>
    <w:rsid w:val="00C9136E"/>
    <w:rsid w:val="00CB667E"/>
    <w:rsid w:val="00D43F84"/>
    <w:rsid w:val="00D52749"/>
    <w:rsid w:val="00D93AD8"/>
    <w:rsid w:val="00DB1839"/>
    <w:rsid w:val="00DF562B"/>
    <w:rsid w:val="00DF76CC"/>
    <w:rsid w:val="00E10CD6"/>
    <w:rsid w:val="00E228BF"/>
    <w:rsid w:val="00E231AE"/>
    <w:rsid w:val="00E8700C"/>
    <w:rsid w:val="00EA7CFD"/>
    <w:rsid w:val="00ED7982"/>
    <w:rsid w:val="00EF4C8D"/>
    <w:rsid w:val="00EF51EA"/>
    <w:rsid w:val="00FB1C7E"/>
    <w:rsid w:val="03167232"/>
    <w:rsid w:val="034B53C8"/>
    <w:rsid w:val="037728CD"/>
    <w:rsid w:val="052F7F60"/>
    <w:rsid w:val="05A63BEE"/>
    <w:rsid w:val="060D38C0"/>
    <w:rsid w:val="06535207"/>
    <w:rsid w:val="06D20802"/>
    <w:rsid w:val="07A531B4"/>
    <w:rsid w:val="07F86D06"/>
    <w:rsid w:val="08B86B9F"/>
    <w:rsid w:val="09790382"/>
    <w:rsid w:val="09DD332F"/>
    <w:rsid w:val="0CA92A55"/>
    <w:rsid w:val="0E6D5BB9"/>
    <w:rsid w:val="0F87344A"/>
    <w:rsid w:val="10DB62BD"/>
    <w:rsid w:val="114F0AA5"/>
    <w:rsid w:val="124044C6"/>
    <w:rsid w:val="12BC6B4A"/>
    <w:rsid w:val="12E004CC"/>
    <w:rsid w:val="15D820DA"/>
    <w:rsid w:val="16B85925"/>
    <w:rsid w:val="179C6CCA"/>
    <w:rsid w:val="184D6737"/>
    <w:rsid w:val="18521AEB"/>
    <w:rsid w:val="197A625B"/>
    <w:rsid w:val="1A0936B5"/>
    <w:rsid w:val="1AC66FD1"/>
    <w:rsid w:val="1D7D78A1"/>
    <w:rsid w:val="1F2E3394"/>
    <w:rsid w:val="1FEC2400"/>
    <w:rsid w:val="214806AF"/>
    <w:rsid w:val="21CC27F5"/>
    <w:rsid w:val="245D12C1"/>
    <w:rsid w:val="25504B81"/>
    <w:rsid w:val="2723085F"/>
    <w:rsid w:val="28451ED1"/>
    <w:rsid w:val="28D21487"/>
    <w:rsid w:val="29567FEA"/>
    <w:rsid w:val="2B212762"/>
    <w:rsid w:val="2CD77ACC"/>
    <w:rsid w:val="2DFE2877"/>
    <w:rsid w:val="2E8170D9"/>
    <w:rsid w:val="30B17E54"/>
    <w:rsid w:val="32D67208"/>
    <w:rsid w:val="33360367"/>
    <w:rsid w:val="3463392E"/>
    <w:rsid w:val="36E57E53"/>
    <w:rsid w:val="378203E7"/>
    <w:rsid w:val="38E21FFB"/>
    <w:rsid w:val="39F632BA"/>
    <w:rsid w:val="3BE7303A"/>
    <w:rsid w:val="3C2A6D8B"/>
    <w:rsid w:val="3D1957A4"/>
    <w:rsid w:val="3E366D3A"/>
    <w:rsid w:val="3E736A92"/>
    <w:rsid w:val="3FFBBFE4"/>
    <w:rsid w:val="40EF3474"/>
    <w:rsid w:val="428A2DDE"/>
    <w:rsid w:val="47256D94"/>
    <w:rsid w:val="47623997"/>
    <w:rsid w:val="47B6799D"/>
    <w:rsid w:val="4AD7140C"/>
    <w:rsid w:val="4AEE1CF6"/>
    <w:rsid w:val="4EBE3D88"/>
    <w:rsid w:val="4F8F5390"/>
    <w:rsid w:val="4F995852"/>
    <w:rsid w:val="50D71FBA"/>
    <w:rsid w:val="514A436A"/>
    <w:rsid w:val="527E00DE"/>
    <w:rsid w:val="533805BC"/>
    <w:rsid w:val="552B7848"/>
    <w:rsid w:val="55472443"/>
    <w:rsid w:val="555F1F3D"/>
    <w:rsid w:val="55691599"/>
    <w:rsid w:val="561E31EA"/>
    <w:rsid w:val="56916933"/>
    <w:rsid w:val="576108EC"/>
    <w:rsid w:val="58BA0D1E"/>
    <w:rsid w:val="59D92850"/>
    <w:rsid w:val="5B1B42A8"/>
    <w:rsid w:val="5BF5578A"/>
    <w:rsid w:val="5C310DD4"/>
    <w:rsid w:val="5CAD1A98"/>
    <w:rsid w:val="5E980138"/>
    <w:rsid w:val="611B1D1B"/>
    <w:rsid w:val="64082E43"/>
    <w:rsid w:val="644337C1"/>
    <w:rsid w:val="661D4B73"/>
    <w:rsid w:val="69C705DD"/>
    <w:rsid w:val="6A37223C"/>
    <w:rsid w:val="6ABE6E95"/>
    <w:rsid w:val="6BBE59E4"/>
    <w:rsid w:val="6DA85461"/>
    <w:rsid w:val="6DBE164F"/>
    <w:rsid w:val="6E240DD8"/>
    <w:rsid w:val="6FA93B5A"/>
    <w:rsid w:val="70E07D75"/>
    <w:rsid w:val="7343107E"/>
    <w:rsid w:val="735D0BD3"/>
    <w:rsid w:val="73735D5A"/>
    <w:rsid w:val="73CB6C90"/>
    <w:rsid w:val="7436751E"/>
    <w:rsid w:val="776F16FD"/>
    <w:rsid w:val="779106A5"/>
    <w:rsid w:val="7988323A"/>
    <w:rsid w:val="7BFC2BA6"/>
    <w:rsid w:val="7E7F58AF"/>
    <w:rsid w:val="7F5B9FC1"/>
    <w:rsid w:val="7FE85448"/>
    <w:rsid w:val="A3ED1EE2"/>
    <w:rsid w:val="DEEE59D8"/>
    <w:rsid w:val="DEF7838B"/>
    <w:rsid w:val="E3320FBD"/>
    <w:rsid w:val="EBA70F87"/>
    <w:rsid w:val="EFBED730"/>
    <w:rsid w:val="EFFAEFAA"/>
    <w:rsid w:val="F1FFEC3C"/>
    <w:rsid w:val="F5F82D60"/>
    <w:rsid w:val="F7B7B10F"/>
    <w:rsid w:val="FEB53187"/>
    <w:rsid w:val="FFBB04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2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annotation text"/>
    <w:basedOn w:val="1"/>
    <w:link w:val="13"/>
    <w:qFormat/>
    <w:uiPriority w:val="0"/>
  </w:style>
  <w:style w:type="paragraph" w:styleId="6">
    <w:name w:val="Body Text"/>
    <w:basedOn w:val="1"/>
    <w:qFormat/>
    <w:uiPriority w:val="0"/>
    <w:pPr>
      <w:spacing w:line="570" w:lineRule="exact"/>
      <w:ind w:firstLine="420" w:firstLineChars="200"/>
    </w:pPr>
    <w:rPr>
      <w:rFonts w:ascii="仿宋" w:hAnsi="仿宋" w:eastAsia="仿宋" w:cs="仿宋"/>
      <w:sz w:val="32"/>
      <w:szCs w:val="31"/>
    </w:rPr>
  </w:style>
  <w:style w:type="paragraph" w:styleId="7">
    <w:name w:val="footer"/>
    <w:basedOn w:val="1"/>
    <w:qFormat/>
    <w:uiPriority w:val="0"/>
    <w:pPr>
      <w:tabs>
        <w:tab w:val="center" w:pos="4153"/>
        <w:tab w:val="right" w:pos="8306"/>
      </w:tabs>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annotation subject"/>
    <w:basedOn w:val="5"/>
    <w:next w:val="5"/>
    <w:link w:val="14"/>
    <w:qFormat/>
    <w:uiPriority w:val="0"/>
    <w:rPr>
      <w:b/>
      <w:bCs/>
    </w:rPr>
  </w:style>
  <w:style w:type="character" w:styleId="12">
    <w:name w:val="annotation reference"/>
    <w:basedOn w:val="11"/>
    <w:qFormat/>
    <w:uiPriority w:val="0"/>
    <w:rPr>
      <w:sz w:val="21"/>
      <w:szCs w:val="21"/>
    </w:rPr>
  </w:style>
  <w:style w:type="character" w:customStyle="1" w:styleId="13">
    <w:name w:val="批注文字 字符"/>
    <w:basedOn w:val="11"/>
    <w:link w:val="5"/>
    <w:qFormat/>
    <w:uiPriority w:val="0"/>
    <w:rPr>
      <w:rFonts w:ascii="Arial" w:hAnsi="Arial" w:eastAsia="Arial" w:cs="Arial"/>
      <w:snapToGrid w:val="0"/>
      <w:color w:val="000000"/>
      <w:sz w:val="21"/>
      <w:szCs w:val="21"/>
      <w:lang w:eastAsia="en-US"/>
    </w:rPr>
  </w:style>
  <w:style w:type="character" w:customStyle="1" w:styleId="14">
    <w:name w:val="批注主题 字符"/>
    <w:basedOn w:val="13"/>
    <w:link w:val="9"/>
    <w:qFormat/>
    <w:uiPriority w:val="0"/>
    <w:rPr>
      <w:rFonts w:ascii="Arial" w:hAnsi="Arial" w:eastAsia="Arial" w:cs="Arial"/>
      <w:b/>
      <w:bCs/>
      <w:snapToGrid w:val="0"/>
      <w:color w:val="000000"/>
      <w:sz w:val="21"/>
      <w:szCs w:val="21"/>
      <w:lang w:eastAsia="en-US"/>
    </w:rPr>
  </w:style>
  <w:style w:type="paragraph" w:customStyle="1" w:styleId="15">
    <w:name w:val="Table Text"/>
    <w:basedOn w:val="1"/>
    <w:semiHidden/>
    <w:qFormat/>
    <w:uiPriority w:val="0"/>
    <w:rPr>
      <w:rFonts w:ascii="仿宋" w:hAnsi="仿宋" w:eastAsia="仿宋" w:cs="仿宋"/>
      <w:sz w:val="31"/>
      <w:szCs w:val="31"/>
    </w:rPr>
  </w:style>
  <w:style w:type="table" w:customStyle="1" w:styleId="16">
    <w:name w:val="Table Normal"/>
    <w:unhideWhenUsed/>
    <w:qFormat/>
    <w:uiPriority w:val="0"/>
    <w:tblPr>
      <w:tblCellMar>
        <w:top w:w="0" w:type="dxa"/>
        <w:left w:w="0" w:type="dxa"/>
        <w:bottom w:w="0" w:type="dxa"/>
        <w:right w:w="0" w:type="dxa"/>
      </w:tblCellMar>
    </w:tblPr>
  </w:style>
  <w:style w:type="paragraph" w:styleId="17">
    <w:name w:val="List Paragraph"/>
    <w:basedOn w:val="1"/>
    <w:qFormat/>
    <w:uiPriority w:val="1"/>
    <w:pPr>
      <w:widowControl w:val="0"/>
      <w:tabs>
        <w:tab w:val="left" w:pos="1415"/>
      </w:tabs>
      <w:kinsoku/>
      <w:adjustRightInd/>
      <w:snapToGrid/>
      <w:spacing w:line="360" w:lineRule="auto"/>
      <w:ind w:firstLine="480" w:firstLineChars="200"/>
      <w:textAlignment w:val="auto"/>
    </w:pPr>
    <w:rPr>
      <w:rFonts w:ascii="Arial Unicode MS" w:hAnsi="Arial Unicode MS" w:eastAsia="Arial Unicode MS" w:cs="Arial Unicode MS"/>
      <w:lang w:val="zh-CN" w:eastAsia="zh-CN" w:bidi="zh-CN"/>
    </w:rPr>
  </w:style>
  <w:style w:type="paragraph" w:customStyle="1" w:styleId="18">
    <w:name w:val="Table Paragraph"/>
    <w:basedOn w:val="1"/>
    <w:qFormat/>
    <w:uiPriority w:val="1"/>
    <w:rPr>
      <w:rFonts w:ascii="Arial Unicode MS" w:hAnsi="Arial Unicode MS" w:eastAsia="Arial Unicode MS" w:cs="Arial Unicode MS"/>
      <w:lang w:val="zh-CN" w:eastAsia="zh-CN" w:bidi="zh-CN"/>
    </w:rPr>
  </w:style>
  <w:style w:type="paragraph" w:customStyle="1" w:styleId="19">
    <w:name w:val="Default"/>
    <w:qFormat/>
    <w:uiPriority w:val="0"/>
    <w:pPr>
      <w:widowControl w:val="0"/>
      <w:autoSpaceDE w:val="0"/>
      <w:autoSpaceDN w:val="0"/>
      <w:adjustRightInd w:val="0"/>
    </w:pPr>
    <w:rPr>
      <w:rFonts w:ascii="方正书宋_GBK" w:hAnsi="Calibri" w:eastAsia="方正书宋_GBK" w:cs="方正书宋_GBK"/>
      <w:color w:val="000000"/>
      <w:sz w:val="24"/>
      <w:szCs w:val="24"/>
      <w:lang w:val="en-US" w:eastAsia="zh-CN" w:bidi="ar-SA"/>
    </w:rPr>
  </w:style>
  <w:style w:type="paragraph" w:customStyle="1" w:styleId="20">
    <w:name w:val="Revisio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2937</Words>
  <Characters>2973</Characters>
  <Lines>267</Lines>
  <Paragraphs>75</Paragraphs>
  <TotalTime>69</TotalTime>
  <ScaleCrop>false</ScaleCrop>
  <LinksUpToDate>false</LinksUpToDate>
  <CharactersWithSpaces>3001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2024-01-31T00:47:00Z</dcterms:created>
  <dc:creator>Administrator.PC-20170823MMOW.000</dc:creator>
  <cp:lastModifiedBy>WPS_1642059575</cp:lastModifiedBy>
  <dcterms:modified xsi:type="dcterms:W3CDTF">2024-10-21T09:07:38Z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A421218FB8264B22B9AA5A45D666D496</vt:lpwstr>
  </property>
</Properties>
</file>