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3D938">
      <w:pPr>
        <w:pStyle w:val="2"/>
        <w:spacing w:line="240" w:lineRule="auto"/>
        <w:rPr>
          <w:lang w:eastAsia="zh-CN"/>
        </w:rPr>
      </w:pPr>
      <w:r>
        <w:rPr>
          <w:rFonts w:hint="eastAsia"/>
          <w:lang w:eastAsia="zh-CN"/>
        </w:rPr>
        <w:t>附件1</w:t>
      </w:r>
      <w:r>
        <w:rPr>
          <w:lang w:eastAsia="zh-CN"/>
        </w:rPr>
        <w:t xml:space="preserve"> </w:t>
      </w:r>
      <w:r>
        <w:rPr>
          <w:rFonts w:hint="eastAsia"/>
          <w:lang w:eastAsia="zh-CN"/>
        </w:rPr>
        <w:t>杭州市住宅工程质量风险管理合</w:t>
      </w:r>
      <w:r>
        <w:rPr>
          <w:rFonts w:hint="eastAsia"/>
          <w:lang w:val="en-US" w:eastAsia="zh-CN"/>
        </w:rPr>
        <w:t>同（2024版）</w:t>
      </w:r>
      <w:r>
        <w:rPr>
          <w:rFonts w:hint="eastAsia"/>
          <w:lang w:eastAsia="zh-CN"/>
        </w:rPr>
        <w:t>格式文本</w:t>
      </w:r>
      <w:bookmarkStart w:id="0" w:name="_GoBack"/>
      <w:bookmarkEnd w:id="0"/>
    </w:p>
    <w:p w14:paraId="17285D19">
      <w:pPr>
        <w:pStyle w:val="4"/>
        <w:kinsoku/>
        <w:adjustRightInd/>
        <w:snapToGrid/>
        <w:spacing w:line="360" w:lineRule="auto"/>
        <w:ind w:firstLine="0" w:firstLineChars="0"/>
        <w:textAlignment w:val="auto"/>
        <w:rPr>
          <w:rFonts w:ascii="黑体" w:hAnsi="黑体" w:eastAsia="黑体" w:cs="黑体"/>
          <w:color w:val="auto"/>
          <w:sz w:val="24"/>
          <w:szCs w:val="24"/>
          <w:lang w:eastAsia="zh-CN"/>
        </w:rPr>
      </w:pPr>
    </w:p>
    <w:p w14:paraId="2EFD5954">
      <w:pPr>
        <w:widowControl w:val="0"/>
        <w:kinsoku/>
        <w:adjustRightInd/>
        <w:snapToGrid/>
        <w:spacing w:line="360" w:lineRule="auto"/>
        <w:jc w:val="center"/>
        <w:textAlignment w:val="auto"/>
        <w:rPr>
          <w:rFonts w:hint="eastAsia" w:ascii="仿宋" w:hAnsi="仿宋" w:eastAsia="仿宋" w:cs="仿宋"/>
          <w:b/>
          <w:bCs/>
          <w:color w:val="auto"/>
          <w:sz w:val="32"/>
          <w:lang w:eastAsia="zh-CN"/>
        </w:rPr>
      </w:pPr>
      <w:r>
        <w:rPr>
          <w:rFonts w:hint="eastAsia" w:ascii="仿宋" w:hAnsi="仿宋" w:eastAsia="仿宋" w:cs="仿宋"/>
          <w:b/>
          <w:bCs/>
          <w:color w:val="auto"/>
          <w:sz w:val="32"/>
          <w:lang w:eastAsia="zh-CN"/>
        </w:rPr>
        <w:t>杭州市住宅工程质量潜在缺陷风险管理合同</w:t>
      </w:r>
    </w:p>
    <w:p w14:paraId="7F4CC25E">
      <w:pPr>
        <w:widowControl w:val="0"/>
        <w:kinsoku/>
        <w:adjustRightInd/>
        <w:snapToGrid/>
        <w:spacing w:line="360" w:lineRule="auto"/>
        <w:jc w:val="center"/>
        <w:textAlignment w:val="auto"/>
        <w:rPr>
          <w:rFonts w:hint="eastAsia" w:ascii="仿宋" w:hAnsi="仿宋" w:eastAsia="仿宋" w:cs="仿宋"/>
          <w:b/>
          <w:bCs/>
          <w:color w:val="auto"/>
          <w:sz w:val="32"/>
          <w:lang w:eastAsia="zh-CN"/>
        </w:rPr>
      </w:pPr>
      <w:r>
        <w:rPr>
          <w:rFonts w:hint="eastAsia" w:ascii="仿宋" w:hAnsi="仿宋" w:eastAsia="仿宋" w:cs="仿宋"/>
          <w:b/>
          <w:bCs/>
          <w:color w:val="auto"/>
          <w:sz w:val="32"/>
          <w:lang w:val="en-US" w:eastAsia="zh-CN"/>
        </w:rPr>
        <w:t>（2024版）</w:t>
      </w:r>
    </w:p>
    <w:p w14:paraId="20E6DC3D">
      <w:pPr>
        <w:pStyle w:val="4"/>
        <w:kinsoku/>
        <w:adjustRightInd/>
        <w:snapToGrid/>
        <w:spacing w:line="360" w:lineRule="auto"/>
        <w:ind w:firstLine="480"/>
        <w:textAlignment w:val="auto"/>
        <w:rPr>
          <w:color w:val="auto"/>
          <w:sz w:val="24"/>
          <w:szCs w:val="24"/>
          <w:lang w:eastAsia="zh-CN"/>
        </w:rPr>
      </w:pPr>
    </w:p>
    <w:p w14:paraId="236E04A7">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甲方：</w:t>
      </w:r>
    </w:p>
    <w:p w14:paraId="1D2AEB95">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XXXX保险公司（以下简称“甲方”）</w:t>
      </w:r>
    </w:p>
    <w:p w14:paraId="6C54F05C">
      <w:pPr>
        <w:pStyle w:val="4"/>
        <w:kinsoku/>
        <w:adjustRightInd/>
        <w:snapToGrid/>
        <w:spacing w:line="360" w:lineRule="auto"/>
        <w:ind w:firstLine="480"/>
        <w:textAlignment w:val="auto"/>
        <w:rPr>
          <w:color w:val="auto"/>
          <w:sz w:val="24"/>
          <w:szCs w:val="24"/>
          <w:lang w:eastAsia="zh-CN"/>
        </w:rPr>
      </w:pPr>
    </w:p>
    <w:p w14:paraId="01D62AD2">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乙方：</w:t>
      </w:r>
    </w:p>
    <w:p w14:paraId="0D14F413">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风险管理机构（以下简称“乙方”）</w:t>
      </w:r>
    </w:p>
    <w:p w14:paraId="0E26EEFC">
      <w:pPr>
        <w:pStyle w:val="4"/>
        <w:kinsoku/>
        <w:adjustRightInd/>
        <w:snapToGrid/>
        <w:spacing w:line="360" w:lineRule="auto"/>
        <w:ind w:firstLine="480"/>
        <w:textAlignment w:val="auto"/>
        <w:rPr>
          <w:color w:val="auto"/>
          <w:sz w:val="24"/>
          <w:szCs w:val="24"/>
          <w:lang w:eastAsia="zh-CN"/>
        </w:rPr>
      </w:pPr>
    </w:p>
    <w:p w14:paraId="64734AD7">
      <w:pPr>
        <w:pStyle w:val="4"/>
        <w:kinsoku/>
        <w:adjustRightInd/>
        <w:snapToGrid/>
        <w:spacing w:line="360" w:lineRule="auto"/>
        <w:ind w:firstLine="480"/>
        <w:textAlignment w:val="auto"/>
        <w:rPr>
          <w:color w:val="auto"/>
          <w:sz w:val="24"/>
          <w:szCs w:val="24"/>
          <w:lang w:eastAsia="zh-CN"/>
        </w:rPr>
      </w:pPr>
    </w:p>
    <w:p w14:paraId="47A41ADE">
      <w:pPr>
        <w:pStyle w:val="4"/>
        <w:widowControl w:val="0"/>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以下条款适用于乙方作为技术风险管理机构为甲方承保的XXXXXXXXXXXXXXX项目的工程质量潜在缺陷，提供项目的技术风险管理服务。合同将约定乙方技术风险管理活动的实施形式，甲、乙双方的相互关系、权利义务以及项目实施过程中与有关的其他各方的关系。（保单号：XXXXXXXXXXXXXXXXXXXX）</w:t>
      </w:r>
    </w:p>
    <w:p w14:paraId="2B460301">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若以下条款在执行过程中，因特殊情况而存在修改的必要，修改的内容必须得到合同各方书面确认后有效。本合同的相关内容，不得违反《杭州市住宅工程质量潜在缺陷保险试点实施办法》等相关制度规范文件中的实质性规定。</w:t>
      </w:r>
    </w:p>
    <w:p w14:paraId="12602F3F">
      <w:pPr>
        <w:kinsoku/>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17318ECB">
      <w:pPr>
        <w:pStyle w:val="3"/>
        <w:rPr>
          <w:lang w:eastAsia="zh-CN"/>
        </w:rPr>
      </w:pPr>
      <w:r>
        <w:rPr>
          <w:rFonts w:hint="eastAsia"/>
          <w:lang w:eastAsia="zh-CN"/>
        </w:rPr>
        <w:t>第一条 服务内容</w:t>
      </w:r>
    </w:p>
    <w:p w14:paraId="226F2737">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1、乙方应提供的工程项目技术风险管理服务内容详见附件一：</w:t>
      </w:r>
    </w:p>
    <w:p w14:paraId="70F1C308">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《XXXXXXXXXXXXXXXXXXXX项目风险管理工作计划》。附件作为本合同的组成部分，具有相同效力。</w:t>
      </w:r>
    </w:p>
    <w:p w14:paraId="75F550B6">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风险管理工作计划是用来指导项目风险管理团队全面实施质量风险管理工作的指导性文件。风险管理工作计划内容应包括但不限于：</w:t>
      </w:r>
    </w:p>
    <w:p w14:paraId="6DE66F4A">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1</w:t>
      </w:r>
      <w:r>
        <w:rPr>
          <w:rFonts w:hint="eastAsia" w:ascii="仿宋" w:hAnsi="仿宋" w:eastAsia="仿宋" w:cs="仿宋"/>
        </w:rPr>
        <w:t>）项目名称、地址、面积、工程状态、结构类型、五方主体等基本信息；</w:t>
      </w:r>
    </w:p>
    <w:p w14:paraId="19C9076A">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2</w:t>
      </w:r>
      <w:r>
        <w:rPr>
          <w:rFonts w:hint="eastAsia" w:ascii="仿宋" w:hAnsi="仿宋" w:eastAsia="仿宋" w:cs="仿宋"/>
        </w:rPr>
        <w:t>）风险管理机构信息、</w:t>
      </w:r>
      <w:r>
        <w:rPr>
          <w:rFonts w:hint="eastAsia" w:ascii="仿宋" w:hAnsi="仿宋" w:eastAsia="仿宋" w:cs="仿宋"/>
          <w:highlight w:val="none"/>
        </w:rPr>
        <w:t>技术负责人，</w:t>
      </w:r>
      <w:r>
        <w:rPr>
          <w:rFonts w:hint="eastAsia" w:ascii="仿宋" w:hAnsi="仿宋" w:eastAsia="仿宋" w:cs="仿宋"/>
          <w:highlight w:val="none"/>
          <w:lang w:eastAsia="zh-CN"/>
        </w:rPr>
        <w:t>项目负责人</w:t>
      </w:r>
      <w:r>
        <w:rPr>
          <w:rFonts w:hint="eastAsia" w:ascii="仿宋" w:hAnsi="仿宋" w:eastAsia="仿宋" w:cs="仿宋"/>
          <w:highlight w:val="none"/>
        </w:rPr>
        <w:t>、团队成</w:t>
      </w:r>
      <w:r>
        <w:rPr>
          <w:rFonts w:hint="eastAsia" w:ascii="仿宋" w:hAnsi="仿宋" w:eastAsia="仿宋" w:cs="仿宋"/>
        </w:rPr>
        <w:t>员信息（包括设计风险管理工程师、土建风险管理工程师、安装风险管理工程师、装饰风险工程师、检测风险管理工程师）；</w:t>
      </w:r>
    </w:p>
    <w:p w14:paraId="00155229">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3</w:t>
      </w:r>
      <w:r>
        <w:rPr>
          <w:rFonts w:hint="eastAsia" w:ascii="仿宋" w:hAnsi="仿宋" w:eastAsia="仿宋" w:cs="仿宋"/>
        </w:rPr>
        <w:t>）风险管理检查范围、检查内容、检查方法、检查频次安排；</w:t>
      </w:r>
    </w:p>
    <w:p w14:paraId="46F5C3CB">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4</w:t>
      </w:r>
      <w:r>
        <w:rPr>
          <w:rFonts w:hint="eastAsia" w:ascii="仿宋" w:hAnsi="仿宋" w:eastAsia="仿宋" w:cs="仿宋"/>
        </w:rPr>
        <w:t>）过程中需重点控制的节点、工序、阶段和部位；</w:t>
      </w:r>
    </w:p>
    <w:p w14:paraId="365EAE12">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5</w:t>
      </w:r>
      <w:r>
        <w:rPr>
          <w:rFonts w:hint="eastAsia" w:ascii="仿宋" w:hAnsi="仿宋" w:eastAsia="仿宋" w:cs="仿宋"/>
        </w:rPr>
        <w:t>）拟出具的报告或形成的成果文件；</w:t>
      </w:r>
    </w:p>
    <w:p w14:paraId="6782C327">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6</w:t>
      </w:r>
      <w:r>
        <w:rPr>
          <w:rFonts w:hint="eastAsia" w:ascii="仿宋" w:hAnsi="仿宋" w:eastAsia="仿宋" w:cs="仿宋"/>
        </w:rPr>
        <w:t>）需要协调配合建设单位及保险公司的相关事宜（包括对四新技术的鉴定检测等）。</w:t>
      </w:r>
    </w:p>
    <w:p w14:paraId="7308FEF0">
      <w:pPr>
        <w:pStyle w:val="4"/>
        <w:widowControl w:val="0"/>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2、在项目技术风险管理内容范围内，乙方须在满足工作深度与专业性的前提下，完成管理工作，包括但不限于：</w:t>
      </w:r>
    </w:p>
    <w:p w14:paraId="7D6EFF7E">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1</w:t>
      </w:r>
      <w:r>
        <w:rPr>
          <w:rFonts w:hint="eastAsia" w:ascii="仿宋" w:hAnsi="仿宋" w:eastAsia="仿宋" w:cs="仿宋"/>
        </w:rPr>
        <w:t>）工程准备阶段：项目风险初步评估报告、风险管理机构工作检查计划、设计风险评估；</w:t>
      </w:r>
    </w:p>
    <w:p w14:paraId="05EFF688">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2</w:t>
      </w:r>
      <w:r>
        <w:rPr>
          <w:rFonts w:hint="eastAsia" w:ascii="仿宋" w:hAnsi="仿宋" w:eastAsia="仿宋" w:cs="仿宋"/>
        </w:rPr>
        <w:t>）工程施工阶段：过程风险评估报告、对应保险责任的阶段风险评估报告、风险清单及整改建议并提供整改后的检查和反馈报告；</w:t>
      </w:r>
    </w:p>
    <w:p w14:paraId="06AC23E2">
      <w:pPr>
        <w:pStyle w:val="8"/>
        <w:ind w:firstLine="420"/>
        <w:rPr>
          <w:rFonts w:hint="eastAsia" w:ascii="微软雅黑" w:hAnsi="微软雅黑" w:eastAsia="微软雅黑" w:cs="微软雅黑"/>
        </w:rPr>
      </w:pPr>
      <w:r>
        <w:rPr>
          <w:rFonts w:hint="eastAsia" w:ascii="仿宋" w:hAnsi="仿宋" w:eastAsia="仿宋" w:cs="仿宋"/>
        </w:rPr>
        <w:t>（</w:t>
      </w:r>
      <w:r>
        <w:rPr>
          <w:rFonts w:hint="eastAsia" w:ascii="仿宋" w:hAnsi="仿宋" w:eastAsia="仿宋" w:cs="仿宋"/>
          <w:lang w:val="en-US"/>
        </w:rPr>
        <w:t>3</w:t>
      </w:r>
      <w:r>
        <w:rPr>
          <w:rFonts w:hint="eastAsia" w:ascii="仿宋" w:hAnsi="仿宋" w:eastAsia="仿宋" w:cs="仿宋"/>
        </w:rPr>
        <w:t>）工程回访阶段：项目竣工最终风险评估报告；项目竣工资料（</w:t>
      </w:r>
      <w:r>
        <w:rPr>
          <w:rFonts w:hint="eastAsia" w:ascii="仿宋" w:hAnsi="仿宋" w:eastAsia="仿宋" w:cs="仿宋"/>
          <w:lang w:val="en-US" w:eastAsia="zh-CN"/>
        </w:rPr>
        <w:t>由甲方配合提供</w:t>
      </w:r>
      <w:r>
        <w:rPr>
          <w:rFonts w:hint="eastAsia" w:ascii="仿宋" w:hAnsi="仿宋" w:eastAsia="仿宋" w:cs="仿宋"/>
        </w:rPr>
        <w:t>包括竣工图、装修工程施工图、各分项涉及的二次深化图等）；竣工质量风险回访检查分析报告。合同规定的技术风险管理服务自甲方交付服务所需的各项文件开始，至乙方遵照合同约定，交付完整的报告文件后，合同规定的风险管理服务结束。</w:t>
      </w:r>
    </w:p>
    <w:p w14:paraId="2101FCA1">
      <w:pPr>
        <w:pStyle w:val="3"/>
        <w:rPr>
          <w:lang w:eastAsia="zh-CN"/>
        </w:rPr>
      </w:pPr>
      <w:r>
        <w:rPr>
          <w:rFonts w:hint="eastAsia"/>
          <w:lang w:eastAsia="zh-CN"/>
        </w:rPr>
        <w:t>第二条 服务期限</w:t>
      </w:r>
    </w:p>
    <w:p w14:paraId="293BEE60">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本合同自签订之日起生效，到工程竣工满两年并乙方提供符合保险公司要求的工程质量回访报告为止。</w:t>
      </w:r>
    </w:p>
    <w:p w14:paraId="0E3778FC">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乙方承诺无论合同是否到期，其在提供风险管理服务过程中获取的工程资料、查勘日志、过程报告、节点报告、竣工报告、风险清单等资料、报告保存期限自合同签订之日起，不低于15年，以便甲方在保险责任期内发生质量事故进行理赔时调阅。</w:t>
      </w:r>
    </w:p>
    <w:p w14:paraId="5599DA03">
      <w:pPr>
        <w:pStyle w:val="3"/>
        <w:rPr>
          <w:lang w:eastAsia="zh-CN"/>
        </w:rPr>
      </w:pPr>
      <w:r>
        <w:rPr>
          <w:rFonts w:hint="eastAsia"/>
          <w:lang w:eastAsia="zh-CN"/>
        </w:rPr>
        <w:t>第三条 服务成果</w:t>
      </w:r>
    </w:p>
    <w:p w14:paraId="06BCB489">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乙方须提交的报告成果（以附件工作计划为准），包括但不限于：</w:t>
      </w:r>
    </w:p>
    <w:p w14:paraId="2963A0F5">
      <w:pPr>
        <w:pStyle w:val="4"/>
        <w:kinsoku/>
        <w:adjustRightInd/>
        <w:snapToGrid/>
        <w:spacing w:line="360" w:lineRule="auto"/>
        <w:ind w:firstLine="480"/>
        <w:textAlignment w:val="auto"/>
        <w:rPr>
          <w:color w:val="auto"/>
          <w:sz w:val="24"/>
          <w:szCs w:val="24"/>
          <w:highlight w:val="none"/>
          <w:lang w:eastAsia="zh-CN"/>
        </w:rPr>
      </w:pPr>
      <w:r>
        <w:rPr>
          <w:rFonts w:hint="eastAsia"/>
          <w:color w:val="auto"/>
          <w:sz w:val="24"/>
          <w:szCs w:val="24"/>
          <w:highlight w:val="none"/>
          <w:lang w:val="en-US" w:eastAsia="zh-CN"/>
        </w:rPr>
        <w:t>1、准备阶段：例如</w:t>
      </w:r>
      <w:r>
        <w:rPr>
          <w:rFonts w:hint="eastAsia"/>
          <w:color w:val="auto"/>
          <w:sz w:val="24"/>
          <w:szCs w:val="24"/>
          <w:highlight w:val="none"/>
          <w:lang w:eastAsia="zh-CN"/>
        </w:rPr>
        <w:t>初步风险分析报告、地基基础和主体结构设计及施工方案风险评估报告、防水和保温工程设计和施工方案风险评估报告、安装和装饰工程设计和施工方案风险评估报告</w:t>
      </w:r>
      <w:r>
        <w:rPr>
          <w:rFonts w:hint="eastAsia"/>
          <w:color w:val="auto"/>
          <w:sz w:val="24"/>
          <w:szCs w:val="24"/>
          <w:highlight w:val="none"/>
          <w:lang w:val="en-US" w:eastAsia="zh-CN"/>
        </w:rPr>
        <w:t>等</w:t>
      </w:r>
      <w:r>
        <w:rPr>
          <w:rFonts w:hint="eastAsia"/>
          <w:color w:val="auto"/>
          <w:sz w:val="24"/>
          <w:szCs w:val="24"/>
          <w:highlight w:val="none"/>
          <w:lang w:eastAsia="zh-CN"/>
        </w:rPr>
        <w:t>。</w:t>
      </w:r>
    </w:p>
    <w:p w14:paraId="08B4DB00">
      <w:pPr>
        <w:pStyle w:val="4"/>
        <w:kinsoku/>
        <w:adjustRightInd/>
        <w:snapToGrid/>
        <w:spacing w:line="360" w:lineRule="auto"/>
        <w:ind w:firstLine="480"/>
        <w:textAlignment w:val="auto"/>
        <w:rPr>
          <w:rFonts w:hint="eastAsia"/>
          <w:color w:val="auto"/>
          <w:sz w:val="24"/>
          <w:szCs w:val="24"/>
          <w:highlight w:val="none"/>
          <w:lang w:eastAsia="zh-CN"/>
        </w:rPr>
      </w:pPr>
      <w:r>
        <w:rPr>
          <w:rFonts w:hint="eastAsia"/>
          <w:color w:val="auto"/>
          <w:sz w:val="24"/>
          <w:szCs w:val="24"/>
          <w:highlight w:val="none"/>
          <w:lang w:val="en-US" w:eastAsia="zh-CN"/>
        </w:rPr>
        <w:t>2、施工阶段：例如</w:t>
      </w:r>
      <w:r>
        <w:rPr>
          <w:rFonts w:hint="eastAsia"/>
          <w:color w:val="auto"/>
          <w:sz w:val="24"/>
          <w:szCs w:val="24"/>
          <w:highlight w:val="none"/>
          <w:lang w:eastAsia="zh-CN"/>
        </w:rPr>
        <w:t>过程评估报告、场地条件</w:t>
      </w:r>
      <w:r>
        <w:rPr>
          <w:rFonts w:hint="eastAsia"/>
          <w:color w:val="auto"/>
          <w:sz w:val="24"/>
          <w:szCs w:val="24"/>
          <w:highlight w:val="none"/>
          <w:lang w:val="en-US" w:eastAsia="zh-CN"/>
        </w:rPr>
        <w:t>与</w:t>
      </w:r>
      <w:r>
        <w:rPr>
          <w:rFonts w:hint="eastAsia"/>
          <w:color w:val="auto"/>
          <w:sz w:val="24"/>
          <w:szCs w:val="24"/>
          <w:highlight w:val="none"/>
          <w:lang w:eastAsia="zh-CN"/>
        </w:rPr>
        <w:t>基础风险评估报告主体结构风险评估报告、建筑外墙风险评估报告、防水及保温工程风险评估报告、安装工程风险评估报告、装修工程风险评估报告</w:t>
      </w:r>
      <w:r>
        <w:rPr>
          <w:rFonts w:hint="eastAsia"/>
          <w:color w:val="auto"/>
          <w:sz w:val="24"/>
          <w:szCs w:val="24"/>
          <w:highlight w:val="none"/>
          <w:lang w:val="en-US" w:eastAsia="zh-CN"/>
        </w:rPr>
        <w:t>等</w:t>
      </w:r>
      <w:r>
        <w:rPr>
          <w:rFonts w:hint="eastAsia"/>
          <w:color w:val="auto"/>
          <w:sz w:val="24"/>
          <w:szCs w:val="24"/>
          <w:highlight w:val="none"/>
          <w:lang w:eastAsia="zh-CN"/>
        </w:rPr>
        <w:t>。</w:t>
      </w:r>
    </w:p>
    <w:p w14:paraId="496087CB">
      <w:pPr>
        <w:pStyle w:val="4"/>
        <w:kinsoku/>
        <w:adjustRightInd/>
        <w:snapToGrid/>
        <w:spacing w:line="360" w:lineRule="auto"/>
        <w:ind w:firstLine="480"/>
        <w:textAlignment w:val="auto"/>
        <w:rPr>
          <w:color w:val="auto"/>
          <w:sz w:val="24"/>
          <w:szCs w:val="24"/>
          <w:highlight w:val="none"/>
          <w:lang w:eastAsia="zh-CN"/>
        </w:rPr>
      </w:pPr>
      <w:r>
        <w:rPr>
          <w:rFonts w:hint="eastAsia"/>
          <w:color w:val="auto"/>
          <w:sz w:val="24"/>
          <w:szCs w:val="24"/>
          <w:highlight w:val="none"/>
          <w:lang w:val="en-US" w:eastAsia="zh-CN"/>
        </w:rPr>
        <w:t>3、回访阶段：例如</w:t>
      </w:r>
      <w:r>
        <w:rPr>
          <w:rFonts w:hint="eastAsia"/>
          <w:color w:val="auto"/>
          <w:sz w:val="24"/>
          <w:szCs w:val="24"/>
          <w:highlight w:val="none"/>
          <w:lang w:eastAsia="zh-CN"/>
        </w:rPr>
        <w:t>竣工检查风险评估报告、回访检查风险评估报告（工程回访阶段）</w:t>
      </w:r>
      <w:r>
        <w:rPr>
          <w:rFonts w:hint="eastAsia"/>
          <w:color w:val="auto"/>
          <w:sz w:val="24"/>
          <w:szCs w:val="24"/>
          <w:highlight w:val="none"/>
          <w:lang w:val="en-US" w:eastAsia="zh-CN"/>
        </w:rPr>
        <w:t>等</w:t>
      </w:r>
      <w:r>
        <w:rPr>
          <w:rFonts w:hint="eastAsia"/>
          <w:color w:val="auto"/>
          <w:sz w:val="24"/>
          <w:szCs w:val="24"/>
          <w:highlight w:val="none"/>
          <w:lang w:eastAsia="zh-CN"/>
        </w:rPr>
        <w:t>。</w:t>
      </w:r>
    </w:p>
    <w:p w14:paraId="62739610">
      <w:pPr>
        <w:pStyle w:val="3"/>
        <w:rPr>
          <w:lang w:eastAsia="zh-CN"/>
        </w:rPr>
      </w:pPr>
      <w:r>
        <w:rPr>
          <w:rFonts w:hint="eastAsia"/>
          <w:lang w:eastAsia="zh-CN"/>
        </w:rPr>
        <w:t>第四条 项目负责人</w:t>
      </w:r>
    </w:p>
    <w:p w14:paraId="71C78ACF">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乙方指定作为该</w:t>
      </w:r>
      <w:r>
        <w:rPr>
          <w:rFonts w:hint="eastAsia"/>
          <w:color w:val="auto"/>
          <w:sz w:val="24"/>
          <w:szCs w:val="24"/>
          <w:lang w:val="en-US" w:eastAsia="zh-CN"/>
        </w:rPr>
        <w:t>项目负责人</w:t>
      </w:r>
      <w:r>
        <w:rPr>
          <w:rFonts w:hint="eastAsia"/>
          <w:color w:val="auto"/>
          <w:sz w:val="24"/>
          <w:szCs w:val="24"/>
          <w:lang w:eastAsia="zh-CN"/>
        </w:rPr>
        <w:t>（</w:t>
      </w:r>
      <w:r>
        <w:rPr>
          <w:rFonts w:hint="eastAsia"/>
          <w:color w:val="auto"/>
          <w:sz w:val="24"/>
          <w:szCs w:val="24"/>
          <w:lang w:val="en-US" w:eastAsia="zh-CN"/>
        </w:rPr>
        <w:t>由</w:t>
      </w:r>
      <w:r>
        <w:rPr>
          <w:rFonts w:hint="eastAsia"/>
          <w:color w:val="auto"/>
          <w:sz w:val="24"/>
          <w:szCs w:val="24"/>
          <w:lang w:eastAsia="zh-CN"/>
        </w:rPr>
        <w:t>取得高级工程师职称的专业技术人员担任，</w:t>
      </w:r>
      <w:r>
        <w:rPr>
          <w:rFonts w:hint="eastAsia"/>
          <w:color w:val="auto"/>
          <w:sz w:val="24"/>
          <w:szCs w:val="24"/>
          <w:lang w:val="en-US" w:eastAsia="zh-CN"/>
        </w:rPr>
        <w:t>并</w:t>
      </w:r>
      <w:r>
        <w:rPr>
          <w:rFonts w:hint="eastAsia"/>
          <w:color w:val="auto"/>
          <w:sz w:val="24"/>
          <w:szCs w:val="24"/>
          <w:lang w:eastAsia="zh-CN"/>
        </w:rPr>
        <w:t>具有10年以上从事工程建设管理工作的经历），授权其开展该项目风险管理工作，并与甲方进行对接。项目负责人对该项目的风险管理服务负责，延续至本项目风险管理服务结束。</w:t>
      </w:r>
    </w:p>
    <w:p w14:paraId="42EB34EB">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项目负责人一旦确定，不得随意变动。确因正当事由需变更项目负责人的，乙方应提交书面申请指派新的项目负责人，经甲方审核同意后方可开展相应工作。乙方不得以风险管理项目负责人更换为由，中断或影响风险管理服务的正常开展。</w:t>
      </w:r>
    </w:p>
    <w:p w14:paraId="0AD42A5A">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val="en-US" w:eastAsia="zh-CN"/>
        </w:rPr>
        <w:t>3、</w:t>
      </w:r>
      <w:r>
        <w:rPr>
          <w:rFonts w:hint="eastAsia"/>
          <w:color w:val="auto"/>
          <w:sz w:val="24"/>
          <w:szCs w:val="24"/>
          <w:lang w:eastAsia="zh-CN"/>
        </w:rPr>
        <w:t>甲方认为项目负责人不称职，或无法有效履行项目负责人职责时，有权以书面形式，要求更换该项目负责人。</w:t>
      </w:r>
    </w:p>
    <w:p w14:paraId="29BE639C">
      <w:pPr>
        <w:pStyle w:val="3"/>
        <w:rPr>
          <w:lang w:eastAsia="zh-CN"/>
        </w:rPr>
      </w:pPr>
      <w:r>
        <w:rPr>
          <w:rFonts w:hint="eastAsia"/>
          <w:lang w:eastAsia="zh-CN"/>
        </w:rPr>
        <w:t>第五条 甲方的权利和义务</w:t>
      </w:r>
    </w:p>
    <w:p w14:paraId="064F539A">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1、甲方负责乙方的委托及相关的对接工作。</w:t>
      </w:r>
    </w:p>
    <w:p w14:paraId="277F6A0D">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2、甲方须将与承保工程项目相关的必要保单信息告知参建各方，并有义务协调参建各方配合乙方开展风险管理工作。</w:t>
      </w:r>
    </w:p>
    <w:p w14:paraId="49F9EA4F">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3、甲方需以约定的方式方法，应提供给乙方相关项目文件及为完成风险管理服务而需要的其他信息。甲方应为乙方开展工作提供便利条件。</w:t>
      </w:r>
    </w:p>
    <w:p w14:paraId="2C9E0B6A">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4、甲方应对乙方提交的报告是否可以作为正式报告进行确认，并有权对报告内容提出修改意见，直至甲方确认符合要求为止。</w:t>
      </w:r>
    </w:p>
    <w:p w14:paraId="318AC606">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5、甲方有义务根据合同约定向乙方支付风险管理服务费。</w:t>
      </w:r>
    </w:p>
    <w:p w14:paraId="45464A7E">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6、甲方有权对乙方提供的服务进行监督。若发现乙方存在违规违约或重大过失行为，甲方有权要求乙方整改，如因此造成项目发生严重后果或存在重大隐患，甲方有权调整服务费、解除合同并保留追偿权利。</w:t>
      </w:r>
    </w:p>
    <w:p w14:paraId="186F8F02">
      <w:pPr>
        <w:pStyle w:val="3"/>
        <w:rPr>
          <w:lang w:eastAsia="zh-CN"/>
        </w:rPr>
      </w:pPr>
      <w:r>
        <w:rPr>
          <w:rFonts w:hint="eastAsia"/>
          <w:lang w:eastAsia="zh-CN"/>
        </w:rPr>
        <w:t>第六条 乙方的权利和义务</w:t>
      </w:r>
    </w:p>
    <w:p w14:paraId="521AB279">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1、乙方按照服务计划，聘用、使用满足项目风险管理的人员和资源，提供合同规定的风险管理服务。</w:t>
      </w:r>
    </w:p>
    <w:p w14:paraId="58C22E05">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乙方受甲方正式委托后，按照既定的乙方服务方案，依据受托标的项目的勘查、设计、施工、材料、使用、维护等实际情况和工程资料，针对住宅质量保险保单承保的工程质量潜在缺陷责任范围，进行风险评估和现场检查监督，并给出风险建议及风险评价结果。工程竣工后对住宅质量保险业务的保单责任风险情况进行整体评价，对遗留隐患进行罗列并分析对承保期间保单责任的影响，在项目竣工时出具最终检查报告。</w:t>
      </w:r>
    </w:p>
    <w:p w14:paraId="54D23E7C">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3、工程竣工验收备案后，乙方应对工程质量情况进行实地回访检查，并在住宅质量保险保险赔偿责任正式生效前提交受托标的项目质量潜在缺陷风险的回访报告。</w:t>
      </w:r>
    </w:p>
    <w:p w14:paraId="77BF841D">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4、除施工各阶段出具例行巡检报告、阶段性报告外，还应出具针对设计、项目基础工程、主体及附属结构、防水工程、保温工程等主要保险责任的阶段专项评估报告。上述报告构成风险管理服务成果的一部分，一起形成项目档案，并递交至甲方。</w:t>
      </w:r>
    </w:p>
    <w:p w14:paraId="0CED4CF6">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5、乙方出具的报告，须符合中国相关法律、法规的强制规范、条例或国际惯例及国际通行操作规范。报告体系的组建，应符合甲方文件的要求。</w:t>
      </w:r>
    </w:p>
    <w:p w14:paraId="5499913C">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6、乙方承诺不得与该工程参建单位存有关联关系，不得直接或间接参与该工程的勘察、设计、施工、监理、材料供应等服务内容。同时向甲方出具廉洁承诺函。</w:t>
      </w:r>
    </w:p>
    <w:p w14:paraId="678B70CA">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7、在任何情况下，乙方的工程风险管理活动都不能取代政府主管部门对该施工项目的其他控制活动。</w:t>
      </w:r>
    </w:p>
    <w:p w14:paraId="2F5744A4">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8、乙方所提供的交付物应满足及时性要求，相关及时性具体要求不应低于《杭州市工程质量风险管理机构管理办法》要求。</w:t>
      </w:r>
    </w:p>
    <w:p w14:paraId="3624ED22">
      <w:pPr>
        <w:pStyle w:val="4"/>
        <w:widowControl w:val="0"/>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9、乙方应对项目风险管理工作计划进行详细梳理，并提供与风险管理工作计划相匹配的工作清单。包括但不限于项目风险管理团队成员名单、过程检查人次、项目检测技术使用类型及次数等。</w:t>
      </w:r>
    </w:p>
    <w:p w14:paraId="34C3244B">
      <w:pPr>
        <w:pStyle w:val="3"/>
        <w:rPr>
          <w:lang w:eastAsia="zh-CN"/>
        </w:rPr>
      </w:pPr>
      <w:r>
        <w:rPr>
          <w:rFonts w:hint="eastAsia"/>
          <w:lang w:eastAsia="zh-CN"/>
        </w:rPr>
        <w:t>第七条 服务费用</w:t>
      </w:r>
    </w:p>
    <w:p w14:paraId="0EA9C999">
      <w:pPr>
        <w:tabs>
          <w:tab w:val="left" w:pos="6190"/>
        </w:tabs>
        <w:kinsoku/>
        <w:adjustRightInd/>
        <w:snapToGrid/>
        <w:spacing w:line="360" w:lineRule="auto"/>
        <w:ind w:firstLine="480" w:firstLineChars="200"/>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1、本项目的风险管理费用总额为</w:t>
      </w:r>
      <w:r>
        <w:rPr>
          <w:rFonts w:hint="eastAsia" w:ascii="仿宋" w:hAnsi="仿宋" w:eastAsia="仿宋" w:cs="仿宋"/>
          <w:b/>
          <w:bCs/>
          <w:color w:val="auto"/>
          <w:sz w:val="24"/>
          <w:szCs w:val="24"/>
          <w:highlight w:val="none"/>
          <w:u w:val="single"/>
          <w:lang w:val="en-US" w:eastAsia="zh-CN"/>
        </w:rPr>
        <w:t>X</w:t>
      </w:r>
      <w:r>
        <w:rPr>
          <w:rFonts w:hint="eastAsia" w:ascii="仿宋" w:hAnsi="仿宋" w:eastAsia="仿宋" w:cs="仿宋"/>
          <w:color w:val="auto"/>
          <w:sz w:val="24"/>
          <w:szCs w:val="24"/>
          <w:highlight w:val="none"/>
          <w:lang w:eastAsia="zh-CN"/>
        </w:rPr>
        <w:t>RMB元。（费用取整）</w:t>
      </w:r>
    </w:p>
    <w:p w14:paraId="26990F85">
      <w:pPr>
        <w:tabs>
          <w:tab w:val="left" w:pos="3960"/>
          <w:tab w:val="left" w:pos="6380"/>
        </w:tabs>
        <w:kinsoku/>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保费总额为</w:t>
      </w:r>
      <w:r>
        <w:rPr>
          <w:rFonts w:hint="eastAsia" w:ascii="仿宋" w:hAnsi="仿宋" w:eastAsia="仿宋" w:cs="仿宋"/>
          <w:b/>
          <w:bCs/>
          <w:color w:val="auto"/>
          <w:sz w:val="24"/>
          <w:szCs w:val="24"/>
          <w:highlight w:val="none"/>
          <w:u w:val="single"/>
          <w:lang w:val="en-US" w:eastAsia="zh-CN"/>
        </w:rPr>
        <w:t>X</w:t>
      </w:r>
      <w:r>
        <w:rPr>
          <w:rFonts w:hint="eastAsia" w:ascii="仿宋" w:hAnsi="仿宋" w:eastAsia="仿宋" w:cs="仿宋"/>
          <w:color w:val="auto"/>
          <w:sz w:val="24"/>
          <w:szCs w:val="24"/>
          <w:highlight w:val="none"/>
          <w:lang w:eastAsia="zh-CN"/>
        </w:rPr>
        <w:t>RMB元，风险管理费率为</w:t>
      </w:r>
      <w:r>
        <w:rPr>
          <w:rFonts w:hint="eastAsia" w:ascii="仿宋" w:hAnsi="仿宋" w:eastAsia="仿宋" w:cs="仿宋"/>
          <w:b/>
          <w:bCs/>
          <w:color w:val="auto"/>
          <w:sz w:val="24"/>
          <w:szCs w:val="24"/>
          <w:highlight w:val="none"/>
          <w:u w:val="single"/>
          <w:lang w:val="en-US" w:eastAsia="zh-CN"/>
        </w:rPr>
        <w:t>X</w:t>
      </w:r>
      <w:r>
        <w:rPr>
          <w:rFonts w:hint="eastAsia" w:ascii="仿宋" w:hAnsi="仿宋" w:eastAsia="仿宋" w:cs="仿宋"/>
          <w:color w:val="auto"/>
          <w:sz w:val="24"/>
          <w:szCs w:val="24"/>
          <w:highlight w:val="none"/>
          <w:lang w:eastAsia="zh-CN"/>
        </w:rPr>
        <w:t>%。</w:t>
      </w:r>
    </w:p>
    <w:p w14:paraId="4F54D3F6">
      <w:pPr>
        <w:pStyle w:val="4"/>
        <w:kinsoku/>
        <w:adjustRightInd/>
        <w:snapToGrid/>
        <w:spacing w:line="360" w:lineRule="auto"/>
        <w:ind w:firstLine="480"/>
        <w:textAlignment w:val="auto"/>
        <w:rPr>
          <w:color w:val="auto"/>
          <w:sz w:val="24"/>
          <w:szCs w:val="24"/>
          <w:highlight w:val="none"/>
          <w:lang w:eastAsia="zh-CN"/>
        </w:rPr>
      </w:pPr>
      <w:r>
        <w:rPr>
          <w:rFonts w:hint="eastAsia"/>
          <w:color w:val="auto"/>
          <w:sz w:val="24"/>
          <w:szCs w:val="24"/>
          <w:highlight w:val="none"/>
          <w:lang w:val="en-US" w:eastAsia="zh-CN"/>
        </w:rPr>
        <w:t>2</w:t>
      </w:r>
      <w:r>
        <w:rPr>
          <w:rFonts w:hint="eastAsia"/>
          <w:color w:val="auto"/>
          <w:sz w:val="24"/>
          <w:szCs w:val="24"/>
          <w:highlight w:val="none"/>
          <w:lang w:eastAsia="zh-CN"/>
        </w:rPr>
        <w:t>、合同含税价款包括不含税价款和增值税款。</w:t>
      </w:r>
    </w:p>
    <w:p w14:paraId="394040EB">
      <w:pPr>
        <w:pStyle w:val="4"/>
        <w:kinsoku/>
        <w:adjustRightInd/>
        <w:snapToGrid/>
        <w:spacing w:line="360" w:lineRule="auto"/>
        <w:ind w:firstLine="480"/>
        <w:textAlignment w:val="auto"/>
        <w:rPr>
          <w:color w:val="auto"/>
          <w:sz w:val="24"/>
          <w:szCs w:val="24"/>
          <w:highlight w:val="none"/>
          <w:lang w:eastAsia="zh-CN"/>
        </w:rPr>
      </w:pPr>
      <w:r>
        <w:rPr>
          <w:rFonts w:hint="eastAsia"/>
          <w:color w:val="auto"/>
          <w:sz w:val="24"/>
          <w:szCs w:val="24"/>
          <w:highlight w:val="none"/>
          <w:lang w:val="en-US" w:eastAsia="zh-CN"/>
        </w:rPr>
        <w:t>3</w:t>
      </w:r>
      <w:r>
        <w:rPr>
          <w:rFonts w:hint="eastAsia"/>
          <w:color w:val="auto"/>
          <w:sz w:val="24"/>
          <w:szCs w:val="24"/>
          <w:highlight w:val="none"/>
          <w:lang w:eastAsia="zh-CN"/>
        </w:rPr>
        <w:t>、技术风险管理服务费用支付节点如下：</w:t>
      </w:r>
    </w:p>
    <w:tbl>
      <w:tblPr>
        <w:tblStyle w:val="6"/>
        <w:tblW w:w="8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5"/>
        <w:gridCol w:w="4506"/>
        <w:gridCol w:w="1258"/>
        <w:gridCol w:w="1627"/>
      </w:tblGrid>
      <w:tr w14:paraId="7F7D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865" w:type="dxa"/>
            <w:noWrap w:val="0"/>
            <w:vAlign w:val="center"/>
          </w:tcPr>
          <w:p w14:paraId="31C1FE71">
            <w:pPr>
              <w:pStyle w:val="9"/>
              <w:widowControl w:val="0"/>
              <w:kinsoku/>
              <w:adjustRightInd/>
              <w:snapToGrid/>
              <w:spacing w:line="360" w:lineRule="auto"/>
              <w:jc w:val="center"/>
              <w:textAlignment w:val="auto"/>
              <w:rPr>
                <w:rFonts w:ascii="仿宋" w:hAnsi="仿宋" w:eastAsia="仿宋" w:cs="仿宋"/>
                <w:color w:val="auto"/>
                <w:sz w:val="24"/>
                <w:szCs w:val="24"/>
                <w:lang w:val="en-US"/>
              </w:rPr>
            </w:pPr>
            <w:r>
              <w:rPr>
                <w:rFonts w:hint="eastAsia" w:ascii="仿宋" w:hAnsi="仿宋" w:eastAsia="仿宋" w:cs="仿宋"/>
                <w:color w:val="auto"/>
                <w:sz w:val="24"/>
                <w:szCs w:val="24"/>
                <w:lang w:val="en-US"/>
              </w:rPr>
              <w:t>期数</w:t>
            </w:r>
          </w:p>
        </w:tc>
        <w:tc>
          <w:tcPr>
            <w:tcW w:w="4506" w:type="dxa"/>
            <w:noWrap w:val="0"/>
            <w:vAlign w:val="center"/>
          </w:tcPr>
          <w:p w14:paraId="1F721A4C">
            <w:pPr>
              <w:pStyle w:val="9"/>
              <w:widowControl w:val="0"/>
              <w:kinsoku/>
              <w:adjustRightInd/>
              <w:snapToGrid/>
              <w:spacing w:line="360" w:lineRule="auto"/>
              <w:jc w:val="center"/>
              <w:textAlignment w:val="auto"/>
              <w:rPr>
                <w:rFonts w:ascii="仿宋" w:hAnsi="仿宋" w:eastAsia="仿宋" w:cs="仿宋"/>
                <w:color w:val="auto"/>
                <w:sz w:val="24"/>
                <w:szCs w:val="24"/>
                <w:lang w:val="en-US"/>
              </w:rPr>
            </w:pPr>
            <w:r>
              <w:rPr>
                <w:rFonts w:hint="eastAsia" w:ascii="仿宋" w:hAnsi="仿宋" w:eastAsia="仿宋" w:cs="仿宋"/>
                <w:color w:val="auto"/>
                <w:sz w:val="24"/>
                <w:szCs w:val="24"/>
                <w:lang w:val="en-US"/>
              </w:rPr>
              <w:t>时间节点</w:t>
            </w:r>
          </w:p>
        </w:tc>
        <w:tc>
          <w:tcPr>
            <w:tcW w:w="1258" w:type="dxa"/>
            <w:noWrap w:val="0"/>
            <w:vAlign w:val="center"/>
          </w:tcPr>
          <w:p w14:paraId="2F787337">
            <w:pPr>
              <w:pStyle w:val="9"/>
              <w:widowControl w:val="0"/>
              <w:kinsoku/>
              <w:adjustRightInd/>
              <w:snapToGrid/>
              <w:spacing w:line="360" w:lineRule="auto"/>
              <w:jc w:val="center"/>
              <w:textAlignment w:val="auto"/>
              <w:rPr>
                <w:rFonts w:ascii="仿宋" w:hAnsi="仿宋" w:eastAsia="仿宋" w:cs="仿宋"/>
                <w:color w:val="auto"/>
                <w:sz w:val="24"/>
                <w:szCs w:val="24"/>
                <w:lang w:val="en-US"/>
              </w:rPr>
            </w:pPr>
            <w:r>
              <w:rPr>
                <w:rFonts w:hint="eastAsia" w:ascii="仿宋" w:hAnsi="仿宋" w:eastAsia="仿宋" w:cs="仿宋"/>
                <w:color w:val="auto"/>
                <w:sz w:val="24"/>
                <w:szCs w:val="24"/>
                <w:lang w:val="en-US"/>
              </w:rPr>
              <w:t>支付比例</w:t>
            </w:r>
          </w:p>
        </w:tc>
        <w:tc>
          <w:tcPr>
            <w:tcW w:w="1627" w:type="dxa"/>
            <w:noWrap w:val="0"/>
            <w:vAlign w:val="center"/>
          </w:tcPr>
          <w:p w14:paraId="348F650D">
            <w:pPr>
              <w:pStyle w:val="9"/>
              <w:widowControl w:val="0"/>
              <w:kinsoku/>
              <w:adjustRightInd/>
              <w:snapToGrid/>
              <w:spacing w:line="360" w:lineRule="auto"/>
              <w:jc w:val="center"/>
              <w:textAlignment w:val="auto"/>
              <w:rPr>
                <w:rFonts w:ascii="仿宋" w:hAnsi="仿宋" w:eastAsia="仿宋" w:cs="仿宋"/>
                <w:color w:val="auto"/>
                <w:sz w:val="24"/>
                <w:szCs w:val="24"/>
                <w:lang w:val="en-US"/>
              </w:rPr>
            </w:pPr>
            <w:r>
              <w:rPr>
                <w:rFonts w:hint="eastAsia" w:ascii="仿宋" w:hAnsi="仿宋" w:eastAsia="仿宋" w:cs="仿宋"/>
                <w:color w:val="auto"/>
                <w:sz w:val="24"/>
                <w:szCs w:val="24"/>
                <w:lang w:val="en-US"/>
              </w:rPr>
              <w:t>支付费用</w:t>
            </w:r>
          </w:p>
        </w:tc>
      </w:tr>
      <w:tr w14:paraId="6F868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865" w:type="dxa"/>
            <w:noWrap w:val="0"/>
            <w:vAlign w:val="center"/>
          </w:tcPr>
          <w:p w14:paraId="142C1D28">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1</w:t>
            </w:r>
          </w:p>
        </w:tc>
        <w:tc>
          <w:tcPr>
            <w:tcW w:w="4506" w:type="dxa"/>
            <w:noWrap w:val="0"/>
            <w:vAlign w:val="center"/>
          </w:tcPr>
          <w:p w14:paraId="462CF427">
            <w:pPr>
              <w:pStyle w:val="9"/>
              <w:widowControl w:val="0"/>
              <w:kinsoku/>
              <w:adjustRightInd/>
              <w:snapToGrid/>
              <w:spacing w:line="360" w:lineRule="auto"/>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rPr>
              <w:t>提供符合要求</w:t>
            </w:r>
            <w:r>
              <w:rPr>
                <w:rFonts w:hint="eastAsia" w:ascii="仿宋" w:hAnsi="仿宋" w:eastAsia="仿宋" w:cs="仿宋"/>
                <w:color w:val="auto"/>
                <w:sz w:val="24"/>
                <w:szCs w:val="24"/>
                <w:lang w:val="en-US" w:eastAsia="zh-CN"/>
              </w:rPr>
              <w:t>的工程准备阶段</w:t>
            </w:r>
            <w:r>
              <w:rPr>
                <w:rFonts w:hint="eastAsia" w:ascii="仿宋" w:hAnsi="仿宋" w:eastAsia="仿宋" w:cs="仿宋"/>
                <w:color w:val="auto"/>
                <w:sz w:val="24"/>
                <w:szCs w:val="24"/>
              </w:rPr>
              <w:t>风险评估报告后30天内</w:t>
            </w:r>
          </w:p>
        </w:tc>
        <w:tc>
          <w:tcPr>
            <w:tcW w:w="1258" w:type="dxa"/>
            <w:noWrap w:val="0"/>
            <w:vAlign w:val="center"/>
          </w:tcPr>
          <w:p w14:paraId="5C33AC5E">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3</w:t>
            </w:r>
            <w:r>
              <w:rPr>
                <w:rFonts w:hint="eastAsia" w:ascii="仿宋" w:hAnsi="仿宋" w:eastAsia="仿宋" w:cs="仿宋"/>
                <w:color w:val="auto"/>
                <w:sz w:val="24"/>
                <w:szCs w:val="24"/>
              </w:rPr>
              <w:t>0%</w:t>
            </w:r>
          </w:p>
        </w:tc>
        <w:tc>
          <w:tcPr>
            <w:tcW w:w="1627" w:type="dxa"/>
            <w:noWrap w:val="0"/>
            <w:vAlign w:val="center"/>
          </w:tcPr>
          <w:p w14:paraId="701D1078">
            <w:pPr>
              <w:pStyle w:val="9"/>
              <w:widowControl w:val="0"/>
              <w:kinsoku/>
              <w:adjustRightInd/>
              <w:snapToGrid/>
              <w:spacing w:line="360" w:lineRule="auto"/>
              <w:jc w:val="center"/>
              <w:textAlignment w:val="auto"/>
              <w:rPr>
                <w:rFonts w:ascii="仿宋" w:hAnsi="仿宋" w:eastAsia="仿宋" w:cs="仿宋"/>
                <w:color w:val="auto"/>
                <w:sz w:val="24"/>
                <w:szCs w:val="24"/>
              </w:rPr>
            </w:pPr>
          </w:p>
        </w:tc>
      </w:tr>
      <w:tr w14:paraId="57D48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865" w:type="dxa"/>
            <w:noWrap w:val="0"/>
            <w:vAlign w:val="center"/>
          </w:tcPr>
          <w:p w14:paraId="6DB2E824">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2</w:t>
            </w:r>
          </w:p>
        </w:tc>
        <w:tc>
          <w:tcPr>
            <w:tcW w:w="4506" w:type="dxa"/>
            <w:noWrap w:val="0"/>
            <w:vAlign w:val="center"/>
          </w:tcPr>
          <w:p w14:paraId="075C41A1">
            <w:pPr>
              <w:pStyle w:val="9"/>
              <w:widowControl w:val="0"/>
              <w:kinsoku/>
              <w:adjustRightInd/>
              <w:snapToGrid/>
              <w:spacing w:line="360" w:lineRule="auto"/>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rPr>
              <w:t>工程结构封顶，</w:t>
            </w:r>
            <w:r>
              <w:rPr>
                <w:rFonts w:hint="eastAsia" w:ascii="仿宋" w:hAnsi="仿宋" w:eastAsia="仿宋" w:cs="仿宋"/>
                <w:color w:val="auto"/>
                <w:sz w:val="24"/>
                <w:szCs w:val="24"/>
                <w:lang w:eastAsia="zh-CN"/>
              </w:rPr>
              <w:t>风险管理机构</w:t>
            </w:r>
            <w:r>
              <w:rPr>
                <w:rFonts w:hint="eastAsia" w:ascii="仿宋" w:hAnsi="仿宋" w:eastAsia="仿宋" w:cs="仿宋"/>
                <w:color w:val="auto"/>
                <w:sz w:val="24"/>
                <w:szCs w:val="24"/>
              </w:rPr>
              <w:t>提供符合要求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主体结构风险评估报告后30天内</w:t>
            </w:r>
          </w:p>
        </w:tc>
        <w:tc>
          <w:tcPr>
            <w:tcW w:w="1258" w:type="dxa"/>
            <w:noWrap w:val="0"/>
            <w:vAlign w:val="center"/>
          </w:tcPr>
          <w:p w14:paraId="08154797">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3</w:t>
            </w:r>
            <w:r>
              <w:rPr>
                <w:rFonts w:hint="eastAsia" w:ascii="仿宋" w:hAnsi="仿宋" w:eastAsia="仿宋" w:cs="仿宋"/>
                <w:color w:val="auto"/>
                <w:sz w:val="24"/>
                <w:szCs w:val="24"/>
              </w:rPr>
              <w:t>0%</w:t>
            </w:r>
          </w:p>
        </w:tc>
        <w:tc>
          <w:tcPr>
            <w:tcW w:w="1627" w:type="dxa"/>
            <w:noWrap w:val="0"/>
            <w:vAlign w:val="center"/>
          </w:tcPr>
          <w:p w14:paraId="34797E03">
            <w:pPr>
              <w:pStyle w:val="9"/>
              <w:widowControl w:val="0"/>
              <w:kinsoku/>
              <w:adjustRightInd/>
              <w:snapToGrid/>
              <w:spacing w:line="360" w:lineRule="auto"/>
              <w:jc w:val="center"/>
              <w:textAlignment w:val="auto"/>
              <w:rPr>
                <w:rFonts w:ascii="仿宋" w:hAnsi="仿宋" w:eastAsia="仿宋" w:cs="仿宋"/>
                <w:color w:val="auto"/>
                <w:sz w:val="24"/>
                <w:szCs w:val="24"/>
              </w:rPr>
            </w:pPr>
          </w:p>
        </w:tc>
      </w:tr>
      <w:tr w14:paraId="4BF4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865" w:type="dxa"/>
            <w:noWrap w:val="0"/>
            <w:vAlign w:val="center"/>
          </w:tcPr>
          <w:p w14:paraId="005FF465">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3</w:t>
            </w:r>
          </w:p>
        </w:tc>
        <w:tc>
          <w:tcPr>
            <w:tcW w:w="4506" w:type="dxa"/>
            <w:noWrap w:val="0"/>
            <w:vAlign w:val="center"/>
          </w:tcPr>
          <w:p w14:paraId="2473C26C">
            <w:pPr>
              <w:pStyle w:val="9"/>
              <w:widowControl w:val="0"/>
              <w:kinsoku/>
              <w:adjustRightInd/>
              <w:snapToGrid/>
              <w:spacing w:line="360" w:lineRule="auto"/>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rPr>
              <w:t>工程竣工，</w:t>
            </w:r>
            <w:r>
              <w:rPr>
                <w:rFonts w:hint="eastAsia" w:ascii="仿宋" w:hAnsi="仿宋" w:eastAsia="仿宋" w:cs="仿宋"/>
                <w:color w:val="auto"/>
                <w:sz w:val="24"/>
                <w:szCs w:val="24"/>
                <w:lang w:eastAsia="zh-CN"/>
              </w:rPr>
              <w:t>风险管理机构</w:t>
            </w:r>
            <w:r>
              <w:rPr>
                <w:rFonts w:hint="eastAsia" w:ascii="仿宋" w:hAnsi="仿宋" w:eastAsia="仿宋" w:cs="仿宋"/>
                <w:color w:val="auto"/>
                <w:sz w:val="24"/>
                <w:szCs w:val="24"/>
              </w:rPr>
              <w:t>提供符合要求的最终竣工报告后45天内</w:t>
            </w:r>
          </w:p>
        </w:tc>
        <w:tc>
          <w:tcPr>
            <w:tcW w:w="1258" w:type="dxa"/>
            <w:noWrap w:val="0"/>
            <w:vAlign w:val="center"/>
          </w:tcPr>
          <w:p w14:paraId="60691D61">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3</w:t>
            </w:r>
            <w:r>
              <w:rPr>
                <w:rFonts w:hint="eastAsia" w:ascii="仿宋" w:hAnsi="仿宋" w:eastAsia="仿宋" w:cs="仿宋"/>
                <w:color w:val="auto"/>
                <w:sz w:val="24"/>
                <w:szCs w:val="24"/>
              </w:rPr>
              <w:t>0%</w:t>
            </w:r>
          </w:p>
        </w:tc>
        <w:tc>
          <w:tcPr>
            <w:tcW w:w="1627" w:type="dxa"/>
            <w:noWrap w:val="0"/>
            <w:vAlign w:val="center"/>
          </w:tcPr>
          <w:p w14:paraId="395BE116">
            <w:pPr>
              <w:pStyle w:val="9"/>
              <w:widowControl w:val="0"/>
              <w:kinsoku/>
              <w:adjustRightInd/>
              <w:snapToGrid/>
              <w:spacing w:line="360" w:lineRule="auto"/>
              <w:jc w:val="center"/>
              <w:textAlignment w:val="auto"/>
              <w:rPr>
                <w:rFonts w:ascii="仿宋" w:hAnsi="仿宋" w:eastAsia="仿宋" w:cs="仿宋"/>
                <w:color w:val="auto"/>
                <w:sz w:val="24"/>
                <w:szCs w:val="24"/>
              </w:rPr>
            </w:pPr>
          </w:p>
        </w:tc>
      </w:tr>
      <w:tr w14:paraId="529C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1" w:hRule="atLeast"/>
        </w:trPr>
        <w:tc>
          <w:tcPr>
            <w:tcW w:w="865" w:type="dxa"/>
            <w:noWrap w:val="0"/>
            <w:vAlign w:val="center"/>
          </w:tcPr>
          <w:p w14:paraId="6613FF7C">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ascii="仿宋" w:hAnsi="仿宋" w:eastAsia="仿宋" w:cs="仿宋"/>
                <w:color w:val="auto"/>
                <w:sz w:val="24"/>
                <w:szCs w:val="24"/>
                <w:lang w:val="en-US"/>
              </w:rPr>
              <w:t>4</w:t>
            </w:r>
          </w:p>
        </w:tc>
        <w:tc>
          <w:tcPr>
            <w:tcW w:w="4506" w:type="dxa"/>
            <w:noWrap w:val="0"/>
            <w:vAlign w:val="center"/>
          </w:tcPr>
          <w:p w14:paraId="74EAB81F">
            <w:pPr>
              <w:pStyle w:val="9"/>
              <w:widowControl w:val="0"/>
              <w:kinsoku/>
              <w:adjustRightInd/>
              <w:snapToGrid/>
              <w:spacing w:line="360" w:lineRule="auto"/>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rPr>
              <w:t>竣工两年后，提供符合要求质量回访报告后30天内（本期为浮动考核费用，具体见附件二）</w:t>
            </w:r>
          </w:p>
        </w:tc>
        <w:tc>
          <w:tcPr>
            <w:tcW w:w="1258" w:type="dxa"/>
            <w:noWrap w:val="0"/>
            <w:vAlign w:val="center"/>
          </w:tcPr>
          <w:p w14:paraId="03630404">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10%</w:t>
            </w:r>
          </w:p>
        </w:tc>
        <w:tc>
          <w:tcPr>
            <w:tcW w:w="1627" w:type="dxa"/>
            <w:noWrap w:val="0"/>
            <w:vAlign w:val="center"/>
          </w:tcPr>
          <w:p w14:paraId="02094632">
            <w:pPr>
              <w:pStyle w:val="9"/>
              <w:widowControl w:val="0"/>
              <w:kinsoku/>
              <w:adjustRightInd/>
              <w:snapToGrid/>
              <w:spacing w:line="360" w:lineRule="auto"/>
              <w:jc w:val="center"/>
              <w:textAlignment w:val="auto"/>
              <w:rPr>
                <w:rFonts w:ascii="仿宋" w:hAnsi="仿宋" w:eastAsia="仿宋" w:cs="仿宋"/>
                <w:color w:val="auto"/>
                <w:sz w:val="24"/>
                <w:szCs w:val="24"/>
              </w:rPr>
            </w:pPr>
          </w:p>
        </w:tc>
      </w:tr>
    </w:tbl>
    <w:p w14:paraId="3D762977">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以上款项支付均需乙方向甲方进行请款确认并开具发票为前提。</w:t>
      </w:r>
    </w:p>
    <w:p w14:paraId="09F04B31">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val="en-US" w:eastAsia="zh-CN"/>
        </w:rPr>
        <w:t>4</w:t>
      </w:r>
      <w:r>
        <w:rPr>
          <w:rFonts w:hint="eastAsia"/>
          <w:color w:val="auto"/>
          <w:sz w:val="24"/>
          <w:szCs w:val="24"/>
          <w:lang w:eastAsia="zh-CN"/>
        </w:rPr>
        <w:t>、风险管理服务费已包括人员费用、市内交通费用、检查费用、专家咨询费用、检测费用、收益以及税金等所有费用，甲方无需支付其他任何费用。</w:t>
      </w:r>
    </w:p>
    <w:p w14:paraId="70FB6BCE">
      <w:pPr>
        <w:kinsoku/>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、如需更改合同约定的支付方式或约定的风险管理服务费用，需经过合同各方协商并以书面形式另行约定。</w:t>
      </w:r>
    </w:p>
    <w:p w14:paraId="5BA11401">
      <w:pPr>
        <w:kinsoku/>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、如需更改合同约定的支付方式或约定的风险管理服务费用，需经过合同各方协商并以书面形式另行约定。</w:t>
      </w:r>
    </w:p>
    <w:p w14:paraId="4CC24123">
      <w:pPr>
        <w:pStyle w:val="4"/>
        <w:kinsoku/>
        <w:adjustRightInd/>
        <w:snapToGrid/>
        <w:spacing w:line="360" w:lineRule="auto"/>
        <w:ind w:firstLine="480"/>
        <w:textAlignment w:val="auto"/>
        <w:rPr>
          <w:color w:val="auto"/>
          <w:sz w:val="24"/>
          <w:szCs w:val="24"/>
          <w:highlight w:val="none"/>
          <w:lang w:eastAsia="zh-CN"/>
        </w:rPr>
      </w:pPr>
      <w:r>
        <w:rPr>
          <w:rFonts w:hint="eastAsia" w:cs="仿宋"/>
          <w:color w:val="auto"/>
          <w:sz w:val="24"/>
          <w:szCs w:val="24"/>
          <w:highlight w:val="none"/>
          <w:lang w:val="en-US" w:eastAsia="zh-CN"/>
        </w:rPr>
        <w:t>7</w:t>
      </w:r>
      <w:r>
        <w:rPr>
          <w:rFonts w:hint="eastAsia" w:ascii="仿宋" w:hAnsi="仿宋" w:eastAsia="仿宋" w:cs="仿宋"/>
          <w:color w:val="auto"/>
          <w:sz w:val="24"/>
          <w:szCs w:val="24"/>
          <w:highlight w:val="none"/>
          <w:lang w:val="en-US" w:eastAsia="zh-CN"/>
        </w:rPr>
        <w:t>、</w:t>
      </w:r>
      <w:r>
        <w:rPr>
          <w:rFonts w:hint="eastAsia"/>
          <w:color w:val="auto"/>
          <w:sz w:val="24"/>
          <w:szCs w:val="24"/>
          <w:highlight w:val="none"/>
          <w:lang w:eastAsia="zh-CN"/>
        </w:rPr>
        <w:t>乙方开具相应金额的增值税专用发票，甲方在收到乙方每期风险管理费用的发票后，由甲方以银行转账方式向乙方支付。</w:t>
      </w:r>
    </w:p>
    <w:p w14:paraId="28F69E04">
      <w:pPr>
        <w:tabs>
          <w:tab w:val="left" w:pos="709"/>
        </w:tabs>
        <w:adjustRightInd/>
        <w:snapToGrid w:val="0"/>
        <w:spacing w:line="360" w:lineRule="auto"/>
        <w:ind w:left="50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甲方开票信息如下：</w:t>
      </w:r>
    </w:p>
    <w:p w14:paraId="56C41359">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名        称：</w:t>
      </w:r>
    </w:p>
    <w:p w14:paraId="3C416041">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纳税人识别号：</w:t>
      </w:r>
    </w:p>
    <w:p w14:paraId="2423D46F">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地        址：</w:t>
      </w:r>
    </w:p>
    <w:p w14:paraId="3EE6E814">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p>
    <w:p w14:paraId="20C49621">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   户   行：</w:t>
      </w:r>
    </w:p>
    <w:p w14:paraId="5D66AB71">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        号：</w:t>
      </w:r>
    </w:p>
    <w:p w14:paraId="7493CDE4">
      <w:pPr>
        <w:tabs>
          <w:tab w:val="left" w:pos="709"/>
        </w:tabs>
        <w:adjustRightInd/>
        <w:snapToGrid w:val="0"/>
        <w:spacing w:line="360" w:lineRule="auto"/>
        <w:ind w:left="50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乙方收款信息如下：</w:t>
      </w:r>
    </w:p>
    <w:p w14:paraId="1607815B">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名        称：</w:t>
      </w:r>
    </w:p>
    <w:p w14:paraId="18F2E500">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纳税人识别号：</w:t>
      </w:r>
    </w:p>
    <w:p w14:paraId="3BA7D022">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地        址：</w:t>
      </w:r>
    </w:p>
    <w:p w14:paraId="651B966A">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p>
    <w:p w14:paraId="4118F00E">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   户   行：</w:t>
      </w:r>
    </w:p>
    <w:p w14:paraId="3F32E946">
      <w:pPr>
        <w:tabs>
          <w:tab w:val="left" w:pos="709"/>
        </w:tabs>
        <w:adjustRightInd/>
        <w:snapToGrid w:val="0"/>
        <w:spacing w:line="360" w:lineRule="auto"/>
        <w:ind w:left="50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        号：</w:t>
      </w:r>
    </w:p>
    <w:p w14:paraId="537210FD">
      <w:pPr>
        <w:tabs>
          <w:tab w:val="left" w:pos="709"/>
        </w:tabs>
        <w:adjustRightInd/>
        <w:snapToGrid w:val="0"/>
        <w:spacing w:line="360" w:lineRule="auto"/>
        <w:ind w:left="509"/>
        <w:rPr>
          <w:rFonts w:hint="eastAsia" w:ascii="仿宋" w:hAnsi="仿宋" w:eastAsia="仿宋" w:cs="仿宋"/>
          <w:sz w:val="24"/>
          <w:highlight w:val="none"/>
        </w:rPr>
      </w:pPr>
      <w:r>
        <w:rPr>
          <w:rFonts w:hint="eastAsia" w:ascii="仿宋" w:hAnsi="仿宋" w:eastAsia="仿宋" w:cs="仿宋"/>
          <w:sz w:val="24"/>
          <w:highlight w:val="none"/>
        </w:rPr>
        <w:t>乙方账户信息如有变更，应及时书面通知甲方，因乙方未通知或未及时通知变更的账户信息所导致的损失由乙方自行承担。</w:t>
      </w:r>
    </w:p>
    <w:p w14:paraId="40FA9840">
      <w:pPr>
        <w:kinsoku/>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1A7EAB62">
      <w:pPr>
        <w:pStyle w:val="3"/>
        <w:rPr>
          <w:lang w:eastAsia="zh-CN"/>
        </w:rPr>
      </w:pPr>
      <w:r>
        <w:rPr>
          <w:rFonts w:hint="eastAsia"/>
          <w:lang w:eastAsia="zh-CN"/>
        </w:rPr>
        <w:t>第八条 发票责任</w:t>
      </w:r>
    </w:p>
    <w:p w14:paraId="41D2572D">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因乙方提供的发票不符合税务部门的要求，导致甲方从乙方取得的增值税专用发票不能认证抵扣进项税金，或虽可通过认证但认证后被税务机关以“比对不符”或“失控发票”等事由追缴税款，而给甲方造成的经济损失，由乙方负责赔偿。</w:t>
      </w:r>
    </w:p>
    <w:p w14:paraId="566BE983">
      <w:pPr>
        <w:pStyle w:val="4"/>
        <w:kinsoku/>
        <w:adjustRightInd/>
        <w:snapToGrid/>
        <w:spacing w:line="360" w:lineRule="auto"/>
        <w:ind w:firstLine="480"/>
        <w:textAlignment w:val="auto"/>
        <w:rPr>
          <w:rFonts w:hint="eastAsia"/>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w:t>
      </w:r>
    </w:p>
    <w:p w14:paraId="73A8A5B5">
      <w:pPr>
        <w:pStyle w:val="4"/>
        <w:kinsoku/>
        <w:adjustRightInd/>
        <w:snapToGrid/>
        <w:spacing w:line="360" w:lineRule="auto"/>
        <w:ind w:firstLine="480"/>
        <w:jc w:val="both"/>
        <w:textAlignment w:val="auto"/>
        <w:rPr>
          <w:rFonts w:hint="eastAsia"/>
          <w:color w:val="auto"/>
          <w:sz w:val="24"/>
          <w:szCs w:val="24"/>
          <w:highlight w:val="none"/>
          <w:lang w:eastAsia="zh-CN"/>
        </w:rPr>
      </w:pPr>
      <w:r>
        <w:rPr>
          <w:rFonts w:hint="eastAsia"/>
          <w:color w:val="auto"/>
          <w:sz w:val="24"/>
          <w:szCs w:val="24"/>
          <w:highlight w:val="none"/>
          <w:lang w:val="en-US" w:eastAsia="zh-CN"/>
        </w:rPr>
        <w:t>3</w:t>
      </w:r>
      <w:r>
        <w:rPr>
          <w:rFonts w:hint="eastAsia"/>
          <w:color w:val="auto"/>
          <w:sz w:val="24"/>
          <w:szCs w:val="24"/>
          <w:highlight w:val="none"/>
          <w:lang w:eastAsia="zh-CN"/>
        </w:rPr>
        <w:t>、乙方应当按相关</w:t>
      </w:r>
      <w:r>
        <w:rPr>
          <w:rFonts w:hint="eastAsia"/>
          <w:color w:val="auto"/>
          <w:sz w:val="24"/>
          <w:szCs w:val="24"/>
          <w:highlight w:val="none"/>
          <w:lang w:val="en-US" w:eastAsia="zh-CN"/>
        </w:rPr>
        <w:t>法律法规</w:t>
      </w:r>
      <w:r>
        <w:rPr>
          <w:rFonts w:hint="eastAsia"/>
          <w:color w:val="auto"/>
          <w:sz w:val="24"/>
          <w:szCs w:val="24"/>
          <w:highlight w:val="none"/>
          <w:lang w:eastAsia="zh-CN"/>
        </w:rPr>
        <w:t>及合同约定，向甲方开具并交付合法、有效的增值税专用发票。</w:t>
      </w:r>
    </w:p>
    <w:p w14:paraId="2BFBB150">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val="en-US" w:eastAsia="zh-CN"/>
        </w:rPr>
        <w:t>4、</w:t>
      </w:r>
      <w:r>
        <w:rPr>
          <w:rFonts w:hint="eastAsia"/>
          <w:color w:val="auto"/>
          <w:sz w:val="24"/>
          <w:szCs w:val="24"/>
          <w:lang w:eastAsia="zh-CN"/>
        </w:rPr>
        <w:t>乙方将根据国家政策规定，为甲方开具符合要求的增值税专用发票，后续因国家政策调整带来的变化，双方均应遵从新的政策规定。</w:t>
      </w:r>
    </w:p>
    <w:p w14:paraId="2B9B2835">
      <w:pPr>
        <w:pStyle w:val="4"/>
        <w:kinsoku/>
        <w:adjustRightInd/>
        <w:snapToGrid/>
        <w:spacing w:line="360" w:lineRule="auto"/>
        <w:ind w:firstLine="480"/>
        <w:jc w:val="both"/>
        <w:textAlignment w:val="auto"/>
        <w:rPr>
          <w:color w:val="auto"/>
          <w:sz w:val="24"/>
          <w:szCs w:val="24"/>
          <w:highlight w:val="none"/>
          <w:lang w:eastAsia="zh-CN"/>
        </w:rPr>
      </w:pPr>
      <w:r>
        <w:rPr>
          <w:rFonts w:hint="eastAsia"/>
          <w:color w:val="auto"/>
          <w:sz w:val="24"/>
          <w:szCs w:val="24"/>
          <w:lang w:val="en-US" w:eastAsia="zh-CN"/>
        </w:rPr>
        <w:t>5、</w:t>
      </w:r>
      <w:r>
        <w:rPr>
          <w:rFonts w:hint="eastAsia"/>
          <w:color w:val="auto"/>
          <w:sz w:val="24"/>
          <w:szCs w:val="24"/>
          <w:highlight w:val="none"/>
          <w:lang w:eastAsia="zh-CN"/>
        </w:rPr>
        <w:t>如果双方发现存在发票遗失的情况，乙方应当按照相关法律规定的要求配合甲方进行发票遗失的处理。如果因乙方的原因导致任何延期开具和交付发票的情况，甲方有权就因此而产生的损失要求乙方进行赔偿。</w:t>
      </w:r>
    </w:p>
    <w:p w14:paraId="24CD9C7E">
      <w:pPr>
        <w:pStyle w:val="4"/>
        <w:kinsoku/>
        <w:adjustRightInd/>
        <w:snapToGrid/>
        <w:spacing w:line="360" w:lineRule="auto"/>
        <w:ind w:firstLine="480"/>
        <w:textAlignment w:val="auto"/>
        <w:rPr>
          <w:rFonts w:hint="eastAsia"/>
          <w:color w:val="auto"/>
          <w:sz w:val="24"/>
          <w:szCs w:val="24"/>
          <w:highlight w:val="none"/>
          <w:lang w:eastAsia="zh-CN"/>
        </w:rPr>
      </w:pPr>
      <w:r>
        <w:rPr>
          <w:rFonts w:hint="eastAsia"/>
          <w:color w:val="auto"/>
          <w:sz w:val="24"/>
          <w:szCs w:val="24"/>
          <w:highlight w:val="none"/>
          <w:lang w:val="en-US" w:eastAsia="zh-CN"/>
        </w:rPr>
        <w:t>6</w:t>
      </w:r>
      <w:r>
        <w:rPr>
          <w:rFonts w:hint="eastAsia"/>
          <w:color w:val="auto"/>
          <w:sz w:val="24"/>
          <w:szCs w:val="24"/>
          <w:highlight w:val="none"/>
          <w:lang w:eastAsia="zh-CN"/>
        </w:rPr>
        <w:t>、如果乙方未能按照合同的约定向甲方开具并及时交付合法有效的发票，或者乙方虽然按约定向甲方交付发票，但交付发票的真实性和有效性存在问题致使甲方无法抵扣发票上注明的进项税款，甲方将不予支付无法取得合法有效发票对应的总价款。如果甲方因抵扣乙方开具的非真实有效的发票而遭受损失或税务机关处罚的，乙方应当赔偿甲方因此受到的全部损失。</w:t>
      </w:r>
    </w:p>
    <w:p w14:paraId="2C2879DA">
      <w:pPr>
        <w:pStyle w:val="4"/>
        <w:kinsoku/>
        <w:adjustRightInd/>
        <w:snapToGrid/>
        <w:spacing w:line="360" w:lineRule="auto"/>
        <w:ind w:firstLine="480"/>
        <w:jc w:val="both"/>
        <w:textAlignment w:val="auto"/>
        <w:rPr>
          <w:color w:val="auto"/>
          <w:sz w:val="24"/>
          <w:szCs w:val="24"/>
          <w:highlight w:val="none"/>
          <w:lang w:eastAsia="zh-CN"/>
        </w:rPr>
      </w:pPr>
      <w:r>
        <w:rPr>
          <w:rFonts w:hint="eastAsia"/>
          <w:color w:val="auto"/>
          <w:sz w:val="24"/>
          <w:szCs w:val="24"/>
          <w:highlight w:val="none"/>
          <w:lang w:val="en-US" w:eastAsia="zh-CN"/>
        </w:rPr>
        <w:t>7</w:t>
      </w:r>
      <w:r>
        <w:rPr>
          <w:rFonts w:hint="eastAsia"/>
          <w:color w:val="auto"/>
          <w:sz w:val="24"/>
          <w:szCs w:val="24"/>
          <w:highlight w:val="none"/>
          <w:lang w:eastAsia="zh-CN"/>
        </w:rPr>
        <w:t>、乙方应当通过专人或快递等可查询接收记录的方式，向甲方发票接收人员送达发票。</w:t>
      </w:r>
    </w:p>
    <w:p w14:paraId="77293811">
      <w:pPr>
        <w:tabs>
          <w:tab w:val="left" w:pos="4610"/>
        </w:tabs>
        <w:kinsoku/>
        <w:adjustRightInd/>
        <w:snapToGrid/>
        <w:spacing w:line="360" w:lineRule="auto"/>
        <w:ind w:firstLine="480" w:firstLineChars="200"/>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甲方的发票事宜联络人及其联系方式如下：</w:t>
      </w:r>
    </w:p>
    <w:p w14:paraId="3362B93E">
      <w:pPr>
        <w:tabs>
          <w:tab w:val="left" w:pos="4610"/>
        </w:tabs>
        <w:kinsoku/>
        <w:adjustRightInd/>
        <w:snapToGrid/>
        <w:spacing w:line="360" w:lineRule="auto"/>
        <w:ind w:firstLine="480" w:firstLineChars="200"/>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姓名： </w:t>
      </w:r>
      <w:r>
        <w:rPr>
          <w:rFonts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eastAsia="zh-CN"/>
        </w:rPr>
        <w:t>联系电话：</w:t>
      </w:r>
    </w:p>
    <w:p w14:paraId="6422D6B2">
      <w:pPr>
        <w:tabs>
          <w:tab w:val="left" w:pos="4610"/>
        </w:tabs>
        <w:kinsoku/>
        <w:adjustRightInd/>
        <w:snapToGrid/>
        <w:spacing w:line="360" w:lineRule="auto"/>
        <w:ind w:firstLine="480" w:firstLineChars="200"/>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乙方的发票事宜联络人及其联系方式如下：</w:t>
      </w:r>
    </w:p>
    <w:p w14:paraId="0A9F48AF">
      <w:pPr>
        <w:tabs>
          <w:tab w:val="left" w:pos="4610"/>
        </w:tabs>
        <w:kinsoku/>
        <w:adjustRightInd/>
        <w:snapToGrid/>
        <w:spacing w:line="360" w:lineRule="auto"/>
        <w:ind w:firstLine="480" w:firstLineChars="200"/>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姓名： </w:t>
      </w:r>
      <w:r>
        <w:rPr>
          <w:rFonts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eastAsia="zh-CN"/>
        </w:rPr>
        <w:t>联系电话：</w:t>
      </w:r>
    </w:p>
    <w:p w14:paraId="79B8C89E">
      <w:pPr>
        <w:pStyle w:val="4"/>
        <w:kinsoku/>
        <w:adjustRightInd/>
        <w:snapToGrid/>
        <w:spacing w:line="360" w:lineRule="auto"/>
        <w:ind w:firstLine="480"/>
        <w:textAlignment w:val="auto"/>
        <w:rPr>
          <w:rFonts w:hint="default"/>
          <w:color w:val="auto"/>
          <w:sz w:val="24"/>
          <w:szCs w:val="24"/>
          <w:lang w:val="en-US" w:eastAsia="zh-CN"/>
        </w:rPr>
      </w:pPr>
    </w:p>
    <w:p w14:paraId="7523E0D7">
      <w:pPr>
        <w:pStyle w:val="3"/>
        <w:rPr>
          <w:lang w:eastAsia="zh-CN"/>
        </w:rPr>
      </w:pPr>
      <w:r>
        <w:rPr>
          <w:rFonts w:hint="eastAsia"/>
          <w:lang w:eastAsia="zh-CN"/>
        </w:rPr>
        <w:t>第九条 违约责任</w:t>
      </w:r>
    </w:p>
    <w:p w14:paraId="0D59CD4E">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1、因乙方在风险管理中的故意或重大过失，对应提示甲方的风险未及时提示，并因此给甲方造成损失的，乙方应当承担赔偿责任。</w:t>
      </w:r>
    </w:p>
    <w:p w14:paraId="74D5FD38">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2、乙方存在不能按本合同约定的时间完成服务、完成服务的内容不符合合同约定、违反保密条款中任一项，并因此给甲方造成损失的，甲方有权不支付服务费，同时保留向乙方索赔相应损失的权利。</w:t>
      </w:r>
    </w:p>
    <w:p w14:paraId="11B6948E">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3、风险管理机构或人员存在以下情形之一的，保险公司除有权不支付服务费用外，还可以通知的形式单方面解除委托合同：</w:t>
      </w:r>
    </w:p>
    <w:p w14:paraId="239F5FEE">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（1）与参建单位存有关联关系，直接或间接参与该工程的勘察、设计、施工、监理、材料供应等工作；</w:t>
      </w:r>
    </w:p>
    <w:p w14:paraId="6593102D">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（2）未经保险公司书面允许，将本合同服务全部或部分委托给他人；</w:t>
      </w:r>
    </w:p>
    <w:p w14:paraId="3DE8C675">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（3）以任何形式允许其他单位和个人以风险管理机构名义承接质量风险管理业务；</w:t>
      </w:r>
    </w:p>
    <w:p w14:paraId="0F268D00">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（4）与有关单位串通，弄虚作假、故意隐瞒质量缺陷；</w:t>
      </w:r>
    </w:p>
    <w:p w14:paraId="7F18C7C4">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（5）篡改或者伪造原始资料、评估报告；</w:t>
      </w:r>
    </w:p>
    <w:p w14:paraId="22521835">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（6）行贿、收受贿赂、索取回扣或者其他好处；</w:t>
      </w:r>
    </w:p>
    <w:p w14:paraId="326724F8">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w:t>
      </w:r>
      <w:r>
        <w:rPr>
          <w:color w:val="auto"/>
          <w:sz w:val="24"/>
          <w:szCs w:val="24"/>
          <w:lang w:eastAsia="zh-CN"/>
        </w:rPr>
        <w:t>7</w:t>
      </w:r>
      <w:r>
        <w:rPr>
          <w:rFonts w:hint="eastAsia"/>
          <w:color w:val="auto"/>
          <w:sz w:val="24"/>
          <w:szCs w:val="24"/>
          <w:lang w:eastAsia="zh-CN"/>
        </w:rPr>
        <w:t>）不遵守保密要求，未严守受检方技术、专利及商业秘密，泄露工程及项目参建各方技术秘密、专利及商业机密；</w:t>
      </w:r>
    </w:p>
    <w:p w14:paraId="610C188B">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w:t>
      </w:r>
      <w:r>
        <w:rPr>
          <w:color w:val="auto"/>
          <w:sz w:val="24"/>
          <w:szCs w:val="24"/>
          <w:lang w:eastAsia="zh-CN"/>
        </w:rPr>
        <w:t>8</w:t>
      </w:r>
      <w:r>
        <w:rPr>
          <w:rFonts w:hint="eastAsia"/>
          <w:color w:val="auto"/>
          <w:sz w:val="24"/>
          <w:szCs w:val="24"/>
          <w:lang w:eastAsia="zh-CN"/>
        </w:rPr>
        <w:t>）其他保险公司认为可能损害保险公司合法权益的情形。</w:t>
      </w:r>
    </w:p>
    <w:p w14:paraId="49BB80A9">
      <w:pPr>
        <w:pStyle w:val="3"/>
        <w:rPr>
          <w:lang w:eastAsia="zh-CN"/>
        </w:rPr>
      </w:pPr>
      <w:r>
        <w:rPr>
          <w:rFonts w:hint="eastAsia"/>
          <w:lang w:eastAsia="zh-CN"/>
        </w:rPr>
        <w:t>第十条 保密条款</w:t>
      </w:r>
    </w:p>
    <w:p w14:paraId="21C0811E">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1、乙方对甲方提供的以及现场风险查勘中获取的关于项目的信息和资料负有保密义务，在没有得到甲方或项目建设单位同意前，乙方及其所有参与该项目风险管理的人员不得将项目及风险评估相关信息及资料透露给第三者。</w:t>
      </w:r>
    </w:p>
    <w:p w14:paraId="7DE7D7CA">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2、在合同履行期间乙方对知悉的甲方保密信息（包括业务信息在内），同样应承担保密责任。甲方在合同履行期间知悉的乙方商业秘密，亦承担保密责任。</w:t>
      </w:r>
    </w:p>
    <w:p w14:paraId="39275843">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3、除非甲方自行公布本项目合同所涉及的保密信息外，乙方的保密责任不因本项目合同的终止而终止，乙方的保密责任有效期为长期。</w:t>
      </w:r>
    </w:p>
    <w:p w14:paraId="6F771F53">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4、甲方可以授权乙方直接向有关各方提交他们所需的报告。</w:t>
      </w:r>
    </w:p>
    <w:p w14:paraId="49C5C656">
      <w:pPr>
        <w:pStyle w:val="3"/>
        <w:rPr>
          <w:lang w:eastAsia="zh-CN"/>
        </w:rPr>
      </w:pPr>
      <w:r>
        <w:rPr>
          <w:rFonts w:hint="eastAsia"/>
          <w:lang w:eastAsia="zh-CN"/>
        </w:rPr>
        <w:t>第十一条 合同约定的风险管理活动范围</w:t>
      </w:r>
    </w:p>
    <w:p w14:paraId="04458366">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1、乙方的工作范围与保险公司承保的住宅工程质量潜在缺陷保险的保单责任范围一致，可以涵盖建设工程勘察、设计、施工、调试和验收等全过程。</w:t>
      </w:r>
    </w:p>
    <w:p w14:paraId="63948FFA">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2、乙方是提供工程质量风险管理服务的机构。乙方的责任是在合同条款规定的条件下，针对质量潜在缺陷保险的承保范围，通过质量潜在缺陷风险识别、风险评估及风险控制建议，发现工程质量隐患并监督整改，促进工程质量水平提升。</w:t>
      </w:r>
    </w:p>
    <w:p w14:paraId="6B0987F4">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3、在施工现场检查时，乙方应及时将现场检查发现的质量缺陷与监理单位、施工单位进行沟通。缺陷整改的过程可由建设单位委托监理单位主导展开并对其进行监督，风险管理机构则负责对整改情况进行跟踪和记录。</w:t>
      </w:r>
    </w:p>
    <w:p w14:paraId="541AF067">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4、乙方应独立、公正、诚信、科学地开展风险管理服务，恪尽职守，廉洁自律，遵守职业操守。如由于乙方及其风险管理人员重大过失或玩忽职守、不诚信行为造成甲方赔偿的，甲方有权向乙方进行追偿。</w:t>
      </w:r>
    </w:p>
    <w:p w14:paraId="62D91B47">
      <w:pPr>
        <w:pStyle w:val="3"/>
        <w:rPr>
          <w:lang w:eastAsia="zh-CN"/>
        </w:rPr>
      </w:pPr>
      <w:r>
        <w:rPr>
          <w:rFonts w:hint="eastAsia"/>
          <w:lang w:eastAsia="zh-CN"/>
        </w:rPr>
        <w:t>第十二条 合同的提前终止</w:t>
      </w:r>
    </w:p>
    <w:p w14:paraId="0DD0C833">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1、下述情形下，本合同终止：</w:t>
      </w:r>
    </w:p>
    <w:p w14:paraId="42F5F508">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1</w:t>
      </w:r>
      <w:r>
        <w:rPr>
          <w:rFonts w:hint="eastAsia" w:ascii="仿宋" w:hAnsi="仿宋" w:eastAsia="仿宋" w:cs="仿宋"/>
        </w:rPr>
        <w:t>）合同各方全部或部分违反该合同中的实质性条款，特别是乙方未在规定时间内完成合同约定的工程风险管理服务。</w:t>
      </w:r>
    </w:p>
    <w:p w14:paraId="67FD6BCC">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2</w:t>
      </w:r>
      <w:r>
        <w:rPr>
          <w:rFonts w:hint="eastAsia" w:ascii="仿宋" w:hAnsi="仿宋" w:eastAsia="仿宋" w:cs="仿宋"/>
        </w:rPr>
        <w:t>）合同任一方破产或被临时接管，但这不妨碍另一方依据合同主张权利。</w:t>
      </w:r>
    </w:p>
    <w:p w14:paraId="7E3179CB">
      <w:pPr>
        <w:pStyle w:val="8"/>
        <w:ind w:firstLine="420"/>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rPr>
        <w:t>3</w:t>
      </w:r>
      <w:r>
        <w:rPr>
          <w:rFonts w:hint="eastAsia" w:ascii="仿宋" w:hAnsi="仿宋" w:eastAsia="仿宋" w:cs="仿宋"/>
        </w:rPr>
        <w:t>）缔约各方协议终止该合同，并且在协议中约定终止合同所产生的后果。</w:t>
      </w:r>
    </w:p>
    <w:p w14:paraId="28AED5E0">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2、任何原因引起的该合同的终止，不得损害没有引起终止合同的另一方的利益。</w:t>
      </w:r>
    </w:p>
    <w:p w14:paraId="48F2097C">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3、由任何一方单方面放弃合同，另一方有权向该方要求索赔。</w:t>
      </w:r>
    </w:p>
    <w:p w14:paraId="3C2A8112">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4、若是乙方放弃合同，则仍需负责已开展的风险管理工作的清理收尾并做好交接。</w:t>
      </w:r>
    </w:p>
    <w:p w14:paraId="6663E309">
      <w:pPr>
        <w:pStyle w:val="3"/>
        <w:rPr>
          <w:lang w:eastAsia="zh-CN"/>
        </w:rPr>
      </w:pPr>
      <w:r>
        <w:rPr>
          <w:rFonts w:hint="eastAsia"/>
          <w:lang w:eastAsia="zh-CN"/>
        </w:rPr>
        <w:t>第十三条 争议处理</w:t>
      </w:r>
    </w:p>
    <w:p w14:paraId="2FA1A5C0">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合同双方因本合同理解和执行产生的任何分歧，均应通过友好协商予以解决，协商不成，可按以下种方式解决：</w:t>
      </w:r>
    </w:p>
    <w:p w14:paraId="4459DBF0">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（1）向</w:t>
      </w:r>
      <w:r>
        <w:rPr>
          <w:rFonts w:hint="eastAsia"/>
          <w:color w:val="auto"/>
          <w:sz w:val="24"/>
          <w:szCs w:val="24"/>
          <w:u w:val="single"/>
          <w:lang w:eastAsia="zh-CN"/>
        </w:rPr>
        <w:t>杭州市仲裁委员会</w:t>
      </w:r>
      <w:r>
        <w:rPr>
          <w:rFonts w:hint="eastAsia"/>
          <w:color w:val="auto"/>
          <w:sz w:val="24"/>
          <w:szCs w:val="24"/>
          <w:lang w:eastAsia="zh-CN"/>
        </w:rPr>
        <w:t>提起仲裁；</w:t>
      </w:r>
    </w:p>
    <w:p w14:paraId="20ECDF18">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（2）向</w:t>
      </w:r>
      <w:r>
        <w:rPr>
          <w:rFonts w:hint="eastAsia"/>
          <w:color w:val="auto"/>
          <w:sz w:val="24"/>
          <w:szCs w:val="24"/>
          <w:u w:val="single"/>
          <w:lang w:eastAsia="zh-CN"/>
        </w:rPr>
        <w:t>甲方</w:t>
      </w:r>
      <w:r>
        <w:rPr>
          <w:rFonts w:hint="eastAsia"/>
          <w:color w:val="auto"/>
          <w:sz w:val="24"/>
          <w:szCs w:val="24"/>
          <w:lang w:eastAsia="zh-CN"/>
        </w:rPr>
        <w:t>所在地有管辖权的法院提起诉讼。</w:t>
      </w:r>
    </w:p>
    <w:p w14:paraId="59EEB0D7">
      <w:pPr>
        <w:pStyle w:val="3"/>
        <w:rPr>
          <w:lang w:eastAsia="zh-CN"/>
        </w:rPr>
      </w:pPr>
      <w:r>
        <w:rPr>
          <w:rFonts w:hint="eastAsia"/>
          <w:lang w:eastAsia="zh-CN"/>
        </w:rPr>
        <w:t>第十四条 反商业贿赂条款</w:t>
      </w:r>
    </w:p>
    <w:p w14:paraId="37808F14">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反商业贿赂条款是本合同必备条款，与本合同其他条款具有同等法律效力。请认真阅读本条款，同意与甲方签订并遵守如下反商业贿赂条款：</w:t>
      </w:r>
    </w:p>
    <w:p w14:paraId="3226A0C6">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1、甲乙各方都清楚并愿意严格遵守中华人民共和国反商业贿赂的法律法规，各方都清楚任何形式的贿赂和贪污行为都将触犯法律，并将受到法律的严惩。</w:t>
      </w:r>
    </w:p>
    <w:p w14:paraId="6AEA9C51">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甲方或乙方均不得向对方或对方经办人员或其他相关人员索要、收受、提供给予合同约定外的任何利益包括但不限于明扣、暗扣、现金、购物卡、实物、有价证券、旅游或其他非物质性利益等。但如该等利益属于行业惯例或通常做法则需在合同中明示。</w:t>
      </w:r>
    </w:p>
    <w:p w14:paraId="603FBB24">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3、甲方严格禁止甲方经办人员的任何商业贿赂行为，甲方经办人员发生本条第二款所示的任何一种行为的，都是违反甲方公司制度的，都将受到甲方公司制度和国家法律的惩处。</w:t>
      </w:r>
    </w:p>
    <w:p w14:paraId="299EFFE2">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4、甲方郑重提示：甲方反对乙方或乙方经办人员与本合同以外的任何第三方发生本条款第二条所列示的任何一种行为，该等行为都是违反国家法律的行为并将受到国家法律的惩处。</w:t>
      </w:r>
    </w:p>
    <w:p w14:paraId="3F3982E0">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5、如因一方或一方经办人员违反上述第二条、第三条、第四条规定给对方造成损失的，应承担损害赔偿责任。</w:t>
      </w:r>
    </w:p>
    <w:p w14:paraId="69AD9430">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6、本条款所称“其他相关人员”是指甲方经办人以外的与合同有直接或间接利益关系的人员。</w:t>
      </w:r>
    </w:p>
    <w:p w14:paraId="3DF190E7">
      <w:pPr>
        <w:pStyle w:val="3"/>
        <w:rPr>
          <w:lang w:eastAsia="zh-CN"/>
        </w:rPr>
      </w:pPr>
      <w:r>
        <w:rPr>
          <w:rFonts w:hint="eastAsia"/>
          <w:lang w:eastAsia="zh-CN"/>
        </w:rPr>
        <w:t>第十</w:t>
      </w:r>
      <w:r>
        <w:rPr>
          <w:rFonts w:hint="eastAsia"/>
          <w:lang w:val="en-US" w:eastAsia="zh-CN"/>
        </w:rPr>
        <w:t>五</w:t>
      </w:r>
      <w:r>
        <w:rPr>
          <w:rFonts w:hint="eastAsia"/>
          <w:lang w:eastAsia="zh-CN"/>
        </w:rPr>
        <w:t>条 反虚假宣传条款</w:t>
      </w:r>
    </w:p>
    <w:p w14:paraId="20F2620D">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甲、乙双方均清楚并愿意严格遵守中华人民共和国《著作权法》、《商标法》、《专利法》、《反不正当竞争法》等知识产权类、民法典及广告法等相关法律的规定，双方均有权就本合同所约定事项以约定方式在约定范围内进行真实、合理的使用或宣传，但不得涉及合同所约定的保密内容。为避免商标侵权及不当宣传等风险的发生，双方均同意，在使用对方的商标、品牌、企业名称等进行宣传前，均须获得对方事先的书面认可，否则，不得进行此类使用或宣传。双方在此承诺，会积极响应对方提出的就合作事项的合理使用或宣传申请。双方均承认，未经对方事先书面同意而利用其商标、品牌及企业名称等进行商业宣传；虚构合作事项；夸大合作范围、内容、效果、规模、程度等，均属对本合同的违反，并可能因虚假宣传构成不正当竞争，守约方或被侵权人将保留追究相应法律责任的权利。</w:t>
      </w:r>
    </w:p>
    <w:p w14:paraId="50643D90">
      <w:pPr>
        <w:pStyle w:val="3"/>
        <w:rPr>
          <w:lang w:eastAsia="zh-CN"/>
        </w:rPr>
      </w:pPr>
      <w:r>
        <w:rPr>
          <w:rFonts w:hint="eastAsia"/>
          <w:lang w:eastAsia="zh-CN"/>
        </w:rPr>
        <w:t>第十</w:t>
      </w:r>
      <w:r>
        <w:rPr>
          <w:rFonts w:hint="eastAsia"/>
          <w:lang w:val="en-US" w:eastAsia="zh-CN"/>
        </w:rPr>
        <w:t>六</w:t>
      </w:r>
      <w:r>
        <w:rPr>
          <w:rFonts w:hint="eastAsia"/>
          <w:lang w:eastAsia="zh-CN"/>
        </w:rPr>
        <w:t>条 反洗钱条款</w:t>
      </w:r>
    </w:p>
    <w:p w14:paraId="350EBD88">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甲乙双方应遵守有关监管法律法规要求，切实加强反洗钱信息保护及保密，不得非法泄露、出售可疑交易、客户洗钱风险等级、反洗钱调查等相关反洗钱信息。</w:t>
      </w:r>
    </w:p>
    <w:p w14:paraId="2813277A">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乙方在与甲方建立和维持业务关系过程中有配合甲方开展尽职调查的义务，应当提供真实有效的身份证件或者身份证明文件，准确、完整填报有关身份信息，如实提供受益所有人相关信息和资料；根据甲方的要求，如实提供与建立业务关系或者交易目的和性质、资金来源和用途有关的资料。必要时，可以从保险专业代理公司、金融机构类保险兼业代理机构获得客户有效身份证件或者其他身份证明文件的复印件或者影印件。如乙方不配合甲方依据反洗钱相关法规采取合理尽职调查措施的，甲方有权限制或者拒绝办理业务，并根据情况提交可疑交易报告。乙方不通过金融机构而是以现金方式收付与甲方相关费用，且数额巨大超过规定金额的，应当立即将现金收付情况告知甲方，配合甲方完成向中国反洗钱监测中心报告等相关工作。</w:t>
      </w:r>
    </w:p>
    <w:p w14:paraId="3150C6E2">
      <w:pPr>
        <w:pStyle w:val="3"/>
        <w:rPr>
          <w:lang w:eastAsia="zh-CN"/>
        </w:rPr>
      </w:pPr>
      <w:r>
        <w:rPr>
          <w:rFonts w:hint="eastAsia"/>
          <w:lang w:eastAsia="zh-CN"/>
        </w:rPr>
        <w:t>第十</w:t>
      </w:r>
      <w:r>
        <w:rPr>
          <w:rFonts w:hint="eastAsia"/>
          <w:lang w:val="en-US" w:eastAsia="zh-CN"/>
        </w:rPr>
        <w:t>七</w:t>
      </w:r>
      <w:r>
        <w:rPr>
          <w:rFonts w:hint="eastAsia"/>
          <w:lang w:eastAsia="zh-CN"/>
        </w:rPr>
        <w:t>条 消费者权益保障条款</w:t>
      </w:r>
    </w:p>
    <w:p w14:paraId="48C32BDC">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1、乙方开展服务时，应充分遵守《中华人民共和国消费者权益保护法》等相关法律、行政法规及部门规章并自觉保障客户与保险消费者有关的财产安全权、知情权（包括但不限于向消费者披露服务构成等）、自主选择权、公平交易权、依法求偿权、受教育权、受尊重权、信息安全权等基本权利，确保保险消费者合法权益得到保护。</w:t>
      </w:r>
    </w:p>
    <w:p w14:paraId="0A259BA5">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2、乙方应以通俗易懂的语言，及时、真实、准确、全面地向保险消费者披露或告知可能影响其决策的信息，并充分提示风险，突出说明容易引发歧义或消费者容易忽视的内容。</w:t>
      </w:r>
    </w:p>
    <w:p w14:paraId="7807D5C4">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3、甲、乙双方应根据监管部门要求，结合当地情况，建立及时有效的投诉处理机制与问题处理应对预案，切实维护消费者合法权益。</w:t>
      </w:r>
    </w:p>
    <w:p w14:paraId="08EB84B9">
      <w:pPr>
        <w:pStyle w:val="4"/>
        <w:kinsoku/>
        <w:adjustRightInd/>
        <w:snapToGrid/>
        <w:spacing w:line="360" w:lineRule="auto"/>
        <w:ind w:firstLine="480"/>
        <w:jc w:val="both"/>
        <w:textAlignment w:val="auto"/>
        <w:rPr>
          <w:color w:val="auto"/>
          <w:sz w:val="24"/>
          <w:szCs w:val="24"/>
          <w:lang w:eastAsia="zh-CN"/>
        </w:rPr>
      </w:pPr>
      <w:r>
        <w:rPr>
          <w:rFonts w:hint="eastAsia"/>
          <w:color w:val="auto"/>
          <w:sz w:val="24"/>
          <w:szCs w:val="24"/>
          <w:lang w:eastAsia="zh-CN"/>
        </w:rPr>
        <w:t>4、甲、乙双方应建立定期沟通和问题上报与互通机制，确保信息畅通对称。对重大投诉和问题处理事件应在第一时间向上级主管机构汇报，确保各类信息能够及时传递，妥善化解纠纷。</w:t>
      </w:r>
    </w:p>
    <w:p w14:paraId="4B54DA54">
      <w:pPr>
        <w:pStyle w:val="3"/>
        <w:rPr>
          <w:lang w:eastAsia="zh-CN"/>
        </w:rPr>
      </w:pPr>
      <w:r>
        <w:rPr>
          <w:rFonts w:hint="eastAsia"/>
          <w:lang w:eastAsia="zh-CN"/>
        </w:rPr>
        <w:t>第十</w:t>
      </w:r>
      <w:r>
        <w:rPr>
          <w:rFonts w:hint="eastAsia"/>
          <w:lang w:val="en-US" w:eastAsia="zh-CN"/>
        </w:rPr>
        <w:t>八</w:t>
      </w:r>
      <w:r>
        <w:rPr>
          <w:rFonts w:hint="eastAsia"/>
          <w:lang w:eastAsia="zh-CN"/>
        </w:rPr>
        <w:t xml:space="preserve">条 </w:t>
      </w:r>
      <w:r>
        <w:rPr>
          <w:rFonts w:hint="eastAsia"/>
          <w:lang w:val="en-US" w:eastAsia="zh-CN"/>
        </w:rPr>
        <w:t>合同</w:t>
      </w:r>
      <w:r>
        <w:rPr>
          <w:rFonts w:hint="eastAsia"/>
          <w:lang w:eastAsia="zh-CN"/>
        </w:rPr>
        <w:t>双方联系人信息</w:t>
      </w:r>
    </w:p>
    <w:tbl>
      <w:tblPr>
        <w:tblStyle w:val="6"/>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84"/>
        <w:gridCol w:w="1734"/>
        <w:gridCol w:w="1780"/>
        <w:gridCol w:w="1440"/>
        <w:gridCol w:w="1774"/>
      </w:tblGrid>
      <w:tr w14:paraId="1A4CE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1784" w:type="dxa"/>
            <w:noWrap w:val="0"/>
            <w:vAlign w:val="center"/>
          </w:tcPr>
          <w:p w14:paraId="3FD3472E">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公司名称</w:t>
            </w:r>
          </w:p>
        </w:tc>
        <w:tc>
          <w:tcPr>
            <w:tcW w:w="1734" w:type="dxa"/>
            <w:noWrap w:val="0"/>
            <w:vAlign w:val="center"/>
          </w:tcPr>
          <w:p w14:paraId="1B65B1B2">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联系人</w:t>
            </w:r>
          </w:p>
        </w:tc>
        <w:tc>
          <w:tcPr>
            <w:tcW w:w="1780" w:type="dxa"/>
            <w:noWrap w:val="0"/>
            <w:vAlign w:val="center"/>
          </w:tcPr>
          <w:p w14:paraId="5878B358">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联系电话</w:t>
            </w:r>
          </w:p>
        </w:tc>
        <w:tc>
          <w:tcPr>
            <w:tcW w:w="1440" w:type="dxa"/>
            <w:noWrap w:val="0"/>
            <w:vAlign w:val="center"/>
          </w:tcPr>
          <w:p w14:paraId="4E507A8A">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联系地址</w:t>
            </w:r>
          </w:p>
        </w:tc>
        <w:tc>
          <w:tcPr>
            <w:tcW w:w="1774" w:type="dxa"/>
            <w:noWrap w:val="0"/>
            <w:vAlign w:val="center"/>
          </w:tcPr>
          <w:p w14:paraId="140227DA">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电子邮箱</w:t>
            </w:r>
          </w:p>
        </w:tc>
      </w:tr>
      <w:tr w14:paraId="07DB2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784" w:type="dxa"/>
            <w:noWrap w:val="0"/>
            <w:vAlign w:val="center"/>
          </w:tcPr>
          <w:p w14:paraId="1D2B41D3">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保险公司</w:t>
            </w:r>
          </w:p>
        </w:tc>
        <w:tc>
          <w:tcPr>
            <w:tcW w:w="1734" w:type="dxa"/>
            <w:noWrap w:val="0"/>
            <w:vAlign w:val="center"/>
          </w:tcPr>
          <w:p w14:paraId="337BDC69">
            <w:pPr>
              <w:pStyle w:val="9"/>
              <w:widowControl w:val="0"/>
              <w:kinsoku/>
              <w:adjustRightInd/>
              <w:snapToGrid/>
              <w:spacing w:line="360" w:lineRule="auto"/>
              <w:jc w:val="center"/>
              <w:textAlignment w:val="auto"/>
              <w:rPr>
                <w:rFonts w:ascii="仿宋" w:hAnsi="仿宋" w:eastAsia="仿宋" w:cs="仿宋"/>
                <w:color w:val="auto"/>
                <w:sz w:val="24"/>
                <w:szCs w:val="24"/>
              </w:rPr>
            </w:pPr>
          </w:p>
        </w:tc>
        <w:tc>
          <w:tcPr>
            <w:tcW w:w="1780" w:type="dxa"/>
            <w:noWrap w:val="0"/>
            <w:vAlign w:val="center"/>
          </w:tcPr>
          <w:p w14:paraId="3F3EAD1F">
            <w:pPr>
              <w:pStyle w:val="9"/>
              <w:widowControl w:val="0"/>
              <w:kinsoku/>
              <w:adjustRightInd/>
              <w:snapToGrid/>
              <w:spacing w:line="360" w:lineRule="auto"/>
              <w:jc w:val="center"/>
              <w:textAlignment w:val="auto"/>
              <w:rPr>
                <w:rFonts w:ascii="仿宋" w:hAnsi="仿宋" w:eastAsia="仿宋" w:cs="仿宋"/>
                <w:color w:val="auto"/>
                <w:sz w:val="24"/>
                <w:szCs w:val="24"/>
              </w:rPr>
            </w:pPr>
          </w:p>
        </w:tc>
        <w:tc>
          <w:tcPr>
            <w:tcW w:w="1440" w:type="dxa"/>
            <w:noWrap w:val="0"/>
            <w:vAlign w:val="center"/>
          </w:tcPr>
          <w:p w14:paraId="29B5AEC6">
            <w:pPr>
              <w:pStyle w:val="9"/>
              <w:widowControl w:val="0"/>
              <w:kinsoku/>
              <w:adjustRightInd/>
              <w:snapToGrid/>
              <w:spacing w:line="360" w:lineRule="auto"/>
              <w:jc w:val="center"/>
              <w:textAlignment w:val="auto"/>
              <w:rPr>
                <w:rFonts w:ascii="仿宋" w:hAnsi="仿宋" w:eastAsia="仿宋" w:cs="仿宋"/>
                <w:color w:val="auto"/>
                <w:sz w:val="24"/>
                <w:szCs w:val="24"/>
              </w:rPr>
            </w:pPr>
          </w:p>
        </w:tc>
        <w:tc>
          <w:tcPr>
            <w:tcW w:w="1774" w:type="dxa"/>
            <w:noWrap w:val="0"/>
            <w:vAlign w:val="center"/>
          </w:tcPr>
          <w:p w14:paraId="7D6D9D8E">
            <w:pPr>
              <w:pStyle w:val="9"/>
              <w:widowControl w:val="0"/>
              <w:kinsoku/>
              <w:adjustRightInd/>
              <w:snapToGrid/>
              <w:spacing w:line="360" w:lineRule="auto"/>
              <w:jc w:val="center"/>
              <w:textAlignment w:val="auto"/>
              <w:rPr>
                <w:rFonts w:ascii="仿宋" w:hAnsi="仿宋" w:eastAsia="仿宋" w:cs="仿宋"/>
                <w:color w:val="auto"/>
                <w:sz w:val="24"/>
                <w:szCs w:val="24"/>
              </w:rPr>
            </w:pPr>
          </w:p>
        </w:tc>
      </w:tr>
      <w:tr w14:paraId="6DD02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1784" w:type="dxa"/>
            <w:noWrap w:val="0"/>
            <w:vAlign w:val="center"/>
          </w:tcPr>
          <w:p w14:paraId="18BF3F7A">
            <w:pPr>
              <w:pStyle w:val="9"/>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风险管理机构</w:t>
            </w:r>
          </w:p>
        </w:tc>
        <w:tc>
          <w:tcPr>
            <w:tcW w:w="1734" w:type="dxa"/>
            <w:noWrap w:val="0"/>
            <w:vAlign w:val="center"/>
          </w:tcPr>
          <w:p w14:paraId="05B2ECC3">
            <w:pPr>
              <w:pStyle w:val="9"/>
              <w:widowControl w:val="0"/>
              <w:kinsoku/>
              <w:adjustRightInd/>
              <w:snapToGrid/>
              <w:spacing w:line="360" w:lineRule="auto"/>
              <w:jc w:val="center"/>
              <w:textAlignment w:val="auto"/>
              <w:rPr>
                <w:rFonts w:ascii="仿宋" w:hAnsi="仿宋" w:eastAsia="仿宋" w:cs="仿宋"/>
                <w:color w:val="auto"/>
                <w:sz w:val="24"/>
                <w:szCs w:val="24"/>
              </w:rPr>
            </w:pPr>
          </w:p>
        </w:tc>
        <w:tc>
          <w:tcPr>
            <w:tcW w:w="1780" w:type="dxa"/>
            <w:noWrap w:val="0"/>
            <w:vAlign w:val="center"/>
          </w:tcPr>
          <w:p w14:paraId="7DCFE752">
            <w:pPr>
              <w:pStyle w:val="9"/>
              <w:widowControl w:val="0"/>
              <w:kinsoku/>
              <w:adjustRightInd/>
              <w:snapToGrid/>
              <w:spacing w:line="360" w:lineRule="auto"/>
              <w:jc w:val="center"/>
              <w:textAlignment w:val="auto"/>
              <w:rPr>
                <w:rFonts w:ascii="仿宋" w:hAnsi="仿宋" w:eastAsia="仿宋" w:cs="仿宋"/>
                <w:color w:val="auto"/>
                <w:sz w:val="24"/>
                <w:szCs w:val="24"/>
              </w:rPr>
            </w:pPr>
          </w:p>
        </w:tc>
        <w:tc>
          <w:tcPr>
            <w:tcW w:w="1440" w:type="dxa"/>
            <w:noWrap w:val="0"/>
            <w:vAlign w:val="center"/>
          </w:tcPr>
          <w:p w14:paraId="1C11AA64">
            <w:pPr>
              <w:pStyle w:val="9"/>
              <w:widowControl w:val="0"/>
              <w:kinsoku/>
              <w:adjustRightInd/>
              <w:snapToGrid/>
              <w:spacing w:line="360" w:lineRule="auto"/>
              <w:jc w:val="center"/>
              <w:textAlignment w:val="auto"/>
              <w:rPr>
                <w:rFonts w:ascii="仿宋" w:hAnsi="仿宋" w:eastAsia="仿宋" w:cs="仿宋"/>
                <w:color w:val="auto"/>
                <w:sz w:val="24"/>
                <w:szCs w:val="24"/>
              </w:rPr>
            </w:pPr>
          </w:p>
        </w:tc>
        <w:tc>
          <w:tcPr>
            <w:tcW w:w="1774" w:type="dxa"/>
            <w:noWrap w:val="0"/>
            <w:vAlign w:val="center"/>
          </w:tcPr>
          <w:p w14:paraId="76A6FAA3">
            <w:pPr>
              <w:pStyle w:val="9"/>
              <w:widowControl w:val="0"/>
              <w:kinsoku/>
              <w:adjustRightInd/>
              <w:snapToGrid/>
              <w:spacing w:line="360" w:lineRule="auto"/>
              <w:jc w:val="center"/>
              <w:textAlignment w:val="auto"/>
              <w:rPr>
                <w:rFonts w:ascii="仿宋" w:hAnsi="仿宋" w:eastAsia="仿宋" w:cs="仿宋"/>
                <w:color w:val="auto"/>
                <w:sz w:val="24"/>
                <w:szCs w:val="24"/>
              </w:rPr>
            </w:pPr>
          </w:p>
        </w:tc>
      </w:tr>
    </w:tbl>
    <w:p w14:paraId="33C7DA8F">
      <w:pPr>
        <w:pStyle w:val="4"/>
        <w:kinsoku/>
        <w:adjustRightInd/>
        <w:snapToGrid/>
        <w:spacing w:line="360" w:lineRule="auto"/>
        <w:ind w:firstLine="480"/>
        <w:textAlignment w:val="auto"/>
        <w:rPr>
          <w:color w:val="auto"/>
          <w:sz w:val="24"/>
          <w:szCs w:val="24"/>
        </w:rPr>
      </w:pPr>
    </w:p>
    <w:p w14:paraId="774C6F61">
      <w:pPr>
        <w:pStyle w:val="4"/>
        <w:kinsoku/>
        <w:adjustRightInd/>
        <w:snapToGrid/>
        <w:spacing w:line="360" w:lineRule="auto"/>
        <w:ind w:firstLine="482"/>
        <w:textAlignment w:val="auto"/>
        <w:rPr>
          <w:b/>
          <w:bCs/>
          <w:color w:val="auto"/>
          <w:sz w:val="24"/>
          <w:szCs w:val="24"/>
        </w:rPr>
      </w:pPr>
    </w:p>
    <w:p w14:paraId="75CFAFFC">
      <w:pPr>
        <w:pStyle w:val="4"/>
        <w:kinsoku/>
        <w:adjustRightInd/>
        <w:snapToGrid/>
        <w:spacing w:line="360" w:lineRule="auto"/>
        <w:ind w:firstLine="482"/>
        <w:textAlignment w:val="auto"/>
        <w:rPr>
          <w:b/>
          <w:bCs/>
          <w:color w:val="auto"/>
          <w:sz w:val="24"/>
          <w:szCs w:val="24"/>
        </w:rPr>
      </w:pPr>
    </w:p>
    <w:p w14:paraId="1EB731CB">
      <w:pPr>
        <w:pStyle w:val="4"/>
        <w:kinsoku/>
        <w:adjustRightInd/>
        <w:snapToGrid/>
        <w:spacing w:line="360" w:lineRule="auto"/>
        <w:ind w:firstLine="482"/>
        <w:textAlignment w:val="auto"/>
        <w:rPr>
          <w:b/>
          <w:bCs/>
          <w:color w:val="auto"/>
          <w:sz w:val="24"/>
          <w:szCs w:val="24"/>
        </w:rPr>
      </w:pPr>
    </w:p>
    <w:p w14:paraId="7ED72355">
      <w:pPr>
        <w:pStyle w:val="4"/>
        <w:kinsoku/>
        <w:adjustRightInd/>
        <w:snapToGrid/>
        <w:spacing w:line="360" w:lineRule="auto"/>
        <w:ind w:firstLine="482"/>
        <w:textAlignment w:val="auto"/>
        <w:rPr>
          <w:b/>
          <w:bCs/>
          <w:color w:val="auto"/>
          <w:sz w:val="24"/>
          <w:szCs w:val="24"/>
        </w:rPr>
      </w:pPr>
    </w:p>
    <w:p w14:paraId="0143B944">
      <w:pPr>
        <w:pStyle w:val="3"/>
        <w:rPr>
          <w:rFonts w:hint="eastAsia"/>
          <w:bCs w:val="0"/>
          <w:color w:val="000000"/>
          <w:sz w:val="32"/>
          <w:szCs w:val="21"/>
          <w:lang w:eastAsia="zh-CN"/>
        </w:rPr>
      </w:pPr>
      <w:r>
        <w:rPr>
          <w:rFonts w:hint="eastAsia"/>
          <w:bCs w:val="0"/>
          <w:color w:val="000000"/>
          <w:sz w:val="32"/>
          <w:szCs w:val="21"/>
          <w:lang w:val="zh-CN" w:eastAsia="zh-CN" w:bidi="zh-CN"/>
        </w:rPr>
        <w:t>第</w:t>
      </w:r>
      <w:r>
        <w:rPr>
          <w:rFonts w:hint="eastAsia"/>
          <w:bCs w:val="0"/>
          <w:color w:val="000000"/>
          <w:sz w:val="32"/>
          <w:szCs w:val="21"/>
          <w:lang w:val="en-US" w:eastAsia="zh-CN" w:bidi="zh-CN"/>
        </w:rPr>
        <w:t>十九</w:t>
      </w:r>
      <w:r>
        <w:rPr>
          <w:rFonts w:hint="eastAsia"/>
          <w:bCs w:val="0"/>
          <w:color w:val="000000"/>
          <w:sz w:val="32"/>
          <w:szCs w:val="21"/>
          <w:lang w:val="zh-CN" w:eastAsia="zh-CN" w:bidi="zh-CN"/>
        </w:rPr>
        <w:t>条</w:t>
      </w:r>
      <w:r>
        <w:rPr>
          <w:rFonts w:hint="eastAsia"/>
          <w:bCs w:val="0"/>
          <w:color w:val="000000"/>
          <w:sz w:val="32"/>
          <w:szCs w:val="21"/>
          <w:lang w:eastAsia="zh-CN" w:bidi="zh-CN"/>
        </w:rPr>
        <w:t xml:space="preserve"> </w:t>
      </w:r>
      <w:r>
        <w:rPr>
          <w:rFonts w:hint="eastAsia"/>
          <w:bCs w:val="0"/>
          <w:color w:val="000000"/>
          <w:sz w:val="32"/>
          <w:szCs w:val="21"/>
          <w:lang w:eastAsia="zh-CN"/>
        </w:rPr>
        <w:t>其他</w:t>
      </w:r>
    </w:p>
    <w:p w14:paraId="5B41F1EE">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1、本合同经合同各方签章生效，一式</w:t>
      </w:r>
      <w:r>
        <w:rPr>
          <w:rFonts w:hint="eastAsia"/>
          <w:color w:val="auto"/>
          <w:sz w:val="24"/>
          <w:szCs w:val="24"/>
          <w:lang w:val="en-US" w:eastAsia="zh-CN"/>
        </w:rPr>
        <w:t>陆</w:t>
      </w:r>
      <w:r>
        <w:rPr>
          <w:rFonts w:hint="eastAsia"/>
          <w:color w:val="auto"/>
          <w:sz w:val="24"/>
          <w:szCs w:val="24"/>
          <w:lang w:eastAsia="zh-CN"/>
        </w:rPr>
        <w:t>份，甲方执</w:t>
      </w:r>
      <w:r>
        <w:rPr>
          <w:rFonts w:hint="eastAsia"/>
          <w:color w:val="auto"/>
          <w:sz w:val="24"/>
          <w:szCs w:val="24"/>
          <w:u w:val="single"/>
          <w:lang w:val="en-US" w:eastAsia="zh-CN"/>
        </w:rPr>
        <w:t>叁</w:t>
      </w:r>
      <w:r>
        <w:rPr>
          <w:rFonts w:hint="eastAsia"/>
          <w:color w:val="auto"/>
          <w:sz w:val="24"/>
          <w:szCs w:val="24"/>
          <w:lang w:eastAsia="zh-CN"/>
        </w:rPr>
        <w:t>份，乙方执</w:t>
      </w:r>
      <w:r>
        <w:rPr>
          <w:rFonts w:hint="eastAsia"/>
          <w:color w:val="auto"/>
          <w:sz w:val="24"/>
          <w:szCs w:val="24"/>
          <w:u w:val="single"/>
          <w:lang w:val="en-US" w:eastAsia="zh-CN"/>
        </w:rPr>
        <w:t>叁</w:t>
      </w:r>
      <w:r>
        <w:rPr>
          <w:rFonts w:hint="eastAsia"/>
          <w:color w:val="auto"/>
          <w:sz w:val="24"/>
          <w:szCs w:val="24"/>
          <w:lang w:eastAsia="zh-CN"/>
        </w:rPr>
        <w:t>份，具有同等法律效力。</w:t>
      </w:r>
    </w:p>
    <w:p w14:paraId="333B3BE8">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2、若本协议在执行过程中，因特殊情况需要修改，修改的内容必须经合同双方书面确认方为有效。</w:t>
      </w:r>
    </w:p>
    <w:p w14:paraId="55429771">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3、合同履行过程中，若有任何变更或其他未尽事宜，由甲、乙双方协商一致，以补充协议方式书面确定协商内容，若补充协议内容与本合同不一致的，以补充协议为准。</w:t>
      </w:r>
    </w:p>
    <w:p w14:paraId="5AA510AB">
      <w:pPr>
        <w:pStyle w:val="4"/>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4、本合同附件是本合同不可分割的组成部分，与本合同正文具有同等的法律效力。附件内容与本合同正文内容不一致的，以本合同正文的约定为准。</w:t>
      </w:r>
    </w:p>
    <w:p w14:paraId="6D65DD30">
      <w:pPr>
        <w:pStyle w:val="4"/>
        <w:kinsoku/>
        <w:adjustRightInd/>
        <w:snapToGrid/>
        <w:spacing w:line="360" w:lineRule="auto"/>
        <w:ind w:firstLine="480"/>
        <w:textAlignment w:val="auto"/>
        <w:rPr>
          <w:color w:val="auto"/>
          <w:sz w:val="24"/>
          <w:szCs w:val="24"/>
          <w:lang w:eastAsia="zh-CN"/>
        </w:rPr>
      </w:pPr>
    </w:p>
    <w:p w14:paraId="13461C7F">
      <w:pPr>
        <w:tabs>
          <w:tab w:val="left" w:pos="5449"/>
        </w:tabs>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甲方：保险公司</w:t>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乙方：风险管理机构</w:t>
      </w:r>
    </w:p>
    <w:p w14:paraId="7112E13F">
      <w:pPr>
        <w:pStyle w:val="4"/>
        <w:kinsoku/>
        <w:adjustRightInd/>
        <w:snapToGrid/>
        <w:spacing w:line="360" w:lineRule="auto"/>
        <w:ind w:firstLine="480"/>
        <w:textAlignment w:val="auto"/>
        <w:rPr>
          <w:color w:val="auto"/>
          <w:sz w:val="24"/>
          <w:szCs w:val="24"/>
          <w:lang w:eastAsia="zh-CN"/>
        </w:rPr>
      </w:pPr>
    </w:p>
    <w:p w14:paraId="6741EFBA">
      <w:pPr>
        <w:tabs>
          <w:tab w:val="left" w:pos="6148"/>
        </w:tabs>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（签章）</w:t>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（签章）</w:t>
      </w:r>
    </w:p>
    <w:p w14:paraId="1F685B63">
      <w:pPr>
        <w:pStyle w:val="4"/>
        <w:kinsoku/>
        <w:adjustRightInd/>
        <w:snapToGrid/>
        <w:spacing w:line="360" w:lineRule="auto"/>
        <w:ind w:firstLine="480"/>
        <w:textAlignment w:val="auto"/>
        <w:rPr>
          <w:color w:val="auto"/>
          <w:sz w:val="24"/>
          <w:szCs w:val="24"/>
          <w:lang w:eastAsia="zh-CN"/>
        </w:rPr>
      </w:pPr>
    </w:p>
    <w:p w14:paraId="1CD5ACDC">
      <w:pPr>
        <w:tabs>
          <w:tab w:val="left" w:pos="5589"/>
        </w:tabs>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签字：</w:t>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签字：</w:t>
      </w:r>
    </w:p>
    <w:p w14:paraId="06BCF762">
      <w:pPr>
        <w:tabs>
          <w:tab w:val="left" w:pos="5589"/>
        </w:tabs>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日期：</w:t>
      </w:r>
    </w:p>
    <w:p w14:paraId="498E6E26">
      <w:pPr>
        <w:kinsoku/>
        <w:adjustRightInd/>
        <w:snapToGrid/>
        <w:spacing w:line="360" w:lineRule="auto"/>
        <w:ind w:firstLine="480" w:firstLineChars="200"/>
        <w:jc w:val="right"/>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签约地：杭州</w:t>
      </w:r>
    </w:p>
    <w:p w14:paraId="35960423">
      <w:pPr>
        <w:kinsoku/>
        <w:adjustRightInd/>
        <w:snapToGrid/>
        <w:spacing w:line="360" w:lineRule="auto"/>
        <w:ind w:firstLine="480" w:firstLineChars="200"/>
        <w:textAlignment w:val="auto"/>
        <w:rPr>
          <w:rFonts w:ascii="仿宋" w:hAnsi="仿宋" w:eastAsia="仿宋" w:cs="仿宋"/>
          <w:color w:val="auto"/>
          <w:sz w:val="24"/>
          <w:szCs w:val="24"/>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C6D59">
    <w:pPr>
      <w:pStyle w:val="4"/>
      <w:spacing w:line="14" w:lineRule="auto"/>
      <w:ind w:firstLine="240"/>
      <w:rPr>
        <w:sz w:val="12"/>
      </w:rPr>
    </w:pPr>
    <w:r>
      <w:rPr>
        <w:sz w:val="1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AFA4E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AAFA4E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kOGI1NzZmYWU5MWMxMjY5ZWNjZWJhYWM2NjcxNWYifQ=="/>
  </w:docVars>
  <w:rsids>
    <w:rsidRoot w:val="00000000"/>
    <w:rsid w:val="04967DA1"/>
    <w:rsid w:val="0FA17A1C"/>
    <w:rsid w:val="1A41786B"/>
    <w:rsid w:val="2C2F2F3C"/>
    <w:rsid w:val="368F7CDB"/>
    <w:rsid w:val="44355E0D"/>
    <w:rsid w:val="448A4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line="570" w:lineRule="exact"/>
      <w:ind w:firstLine="420" w:firstLineChars="200"/>
    </w:pPr>
    <w:rPr>
      <w:rFonts w:ascii="仿宋" w:hAnsi="仿宋" w:eastAsia="仿宋" w:cs="仿宋"/>
      <w:sz w:val="32"/>
      <w:szCs w:val="31"/>
    </w:rPr>
  </w:style>
  <w:style w:type="paragraph" w:styleId="5">
    <w:name w:val="footer"/>
    <w:basedOn w:val="1"/>
    <w:qFormat/>
    <w:uiPriority w:val="0"/>
    <w:pPr>
      <w:tabs>
        <w:tab w:val="center" w:pos="4153"/>
        <w:tab w:val="right" w:pos="8306"/>
      </w:tabs>
    </w:pPr>
    <w:rPr>
      <w:sz w:val="18"/>
    </w:rPr>
  </w:style>
  <w:style w:type="paragraph" w:styleId="8">
    <w:name w:val="List Paragraph"/>
    <w:basedOn w:val="1"/>
    <w:qFormat/>
    <w:uiPriority w:val="1"/>
    <w:pPr>
      <w:widowControl w:val="0"/>
      <w:tabs>
        <w:tab w:val="left" w:pos="1415"/>
      </w:tabs>
      <w:kinsoku/>
      <w:adjustRightInd/>
      <w:snapToGrid/>
      <w:spacing w:line="360" w:lineRule="auto"/>
      <w:ind w:firstLine="480" w:firstLineChars="200"/>
      <w:textAlignment w:val="auto"/>
    </w:pPr>
    <w:rPr>
      <w:rFonts w:ascii="Arial Unicode MS" w:hAnsi="Arial Unicode MS" w:eastAsia="Arial Unicode MS" w:cs="Arial Unicode MS"/>
      <w:lang w:val="zh-CN" w:eastAsia="zh-CN" w:bidi="zh-CN"/>
    </w:rPr>
  </w:style>
  <w:style w:type="paragraph" w:customStyle="1" w:styleId="9">
    <w:name w:val="Table Paragraph"/>
    <w:basedOn w:val="1"/>
    <w:qFormat/>
    <w:uiPriority w:val="1"/>
    <w:rPr>
      <w:rFonts w:ascii="Arial Unicode MS" w:hAnsi="Arial Unicode MS" w:eastAsia="Arial Unicode MS" w:cs="Arial Unicode MS"/>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7394</Words>
  <Characters>7470</Characters>
  <Lines>0</Lines>
  <Paragraphs>0</Paragraphs>
  <TotalTime>0</TotalTime>
  <ScaleCrop>false</ScaleCrop>
  <LinksUpToDate>false</LinksUpToDate>
  <CharactersWithSpaces>7590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2024-10-21T07:39:00Z</dcterms:created>
  <dc:creator>admin</dc:creator>
  <cp:lastModifiedBy>WPS_1642059575</cp:lastModifiedBy>
  <dcterms:modified xsi:type="dcterms:W3CDTF">2024-10-21T08:58:49Z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7C9CA6F41C8A432EB88CFDC178A1C33C</vt:lpwstr>
  </property>
</Properties>
</file>