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A" w:rsidRDefault="00D63A8A" w:rsidP="00D63A8A">
      <w:pPr>
        <w:jc w:val="center"/>
        <w:rPr>
          <w:b/>
          <w:sz w:val="32"/>
          <w:szCs w:val="32"/>
        </w:rPr>
      </w:pPr>
    </w:p>
    <w:p w:rsidR="00D63A8A" w:rsidRDefault="00D63A8A" w:rsidP="00D63A8A">
      <w:pPr>
        <w:jc w:val="center"/>
        <w:rPr>
          <w:b/>
          <w:sz w:val="32"/>
          <w:szCs w:val="32"/>
        </w:rPr>
      </w:pPr>
    </w:p>
    <w:p w:rsidR="00D63A8A" w:rsidRDefault="00D63A8A" w:rsidP="00D63A8A">
      <w:pPr>
        <w:jc w:val="center"/>
        <w:rPr>
          <w:b/>
          <w:sz w:val="32"/>
          <w:szCs w:val="32"/>
        </w:rPr>
      </w:pPr>
    </w:p>
    <w:p w:rsidR="00D63A8A" w:rsidRDefault="00D63A8A" w:rsidP="00D63A8A">
      <w:pPr>
        <w:jc w:val="center"/>
        <w:rPr>
          <w:b/>
          <w:sz w:val="32"/>
          <w:szCs w:val="32"/>
        </w:rPr>
      </w:pPr>
    </w:p>
    <w:p w:rsidR="00D63A8A" w:rsidRDefault="00D63A8A" w:rsidP="00D63A8A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杭质安协</w:t>
      </w:r>
      <w:r>
        <w:rPr>
          <w:rFonts w:ascii="宋体" w:hAnsi="宋体"/>
          <w:sz w:val="28"/>
          <w:szCs w:val="28"/>
        </w:rPr>
        <w:t>[201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12号</w:t>
      </w:r>
    </w:p>
    <w:p w:rsidR="00D63A8A" w:rsidRDefault="00D63A8A" w:rsidP="00D63A8A">
      <w:pPr>
        <w:jc w:val="center"/>
        <w:rPr>
          <w:b/>
          <w:sz w:val="32"/>
          <w:szCs w:val="32"/>
        </w:rPr>
      </w:pPr>
    </w:p>
    <w:p w:rsidR="000A680D" w:rsidRPr="005E42A1" w:rsidRDefault="000A680D" w:rsidP="00D63A8A">
      <w:pPr>
        <w:spacing w:line="360" w:lineRule="auto"/>
        <w:ind w:firstLineChars="98" w:firstLine="315"/>
        <w:jc w:val="center"/>
        <w:rPr>
          <w:rFonts w:ascii="宋体"/>
          <w:b/>
          <w:sz w:val="32"/>
          <w:szCs w:val="32"/>
        </w:rPr>
      </w:pPr>
      <w:r w:rsidRPr="005E42A1">
        <w:rPr>
          <w:rFonts w:ascii="宋体" w:hAnsi="宋体" w:hint="eastAsia"/>
          <w:b/>
          <w:sz w:val="32"/>
          <w:szCs w:val="32"/>
        </w:rPr>
        <w:t>关于加强</w:t>
      </w:r>
      <w:r>
        <w:rPr>
          <w:rFonts w:ascii="宋体" w:hAnsi="宋体" w:hint="eastAsia"/>
          <w:b/>
          <w:sz w:val="32"/>
          <w:szCs w:val="32"/>
        </w:rPr>
        <w:t>非标</w:t>
      </w:r>
      <w:r w:rsidRPr="005E42A1">
        <w:rPr>
          <w:rFonts w:ascii="宋体" w:hAnsi="宋体" w:hint="eastAsia"/>
          <w:b/>
          <w:sz w:val="32"/>
          <w:szCs w:val="32"/>
        </w:rPr>
        <w:t>吊篮管理的</w:t>
      </w:r>
      <w:r>
        <w:rPr>
          <w:rFonts w:ascii="宋体" w:hAnsi="宋体" w:hint="eastAsia"/>
          <w:b/>
          <w:sz w:val="32"/>
          <w:szCs w:val="32"/>
        </w:rPr>
        <w:t>通知</w:t>
      </w:r>
    </w:p>
    <w:p w:rsidR="000A680D" w:rsidRPr="005E42A1" w:rsidRDefault="000A680D" w:rsidP="005E42A1">
      <w:pPr>
        <w:spacing w:line="600" w:lineRule="exact"/>
        <w:rPr>
          <w:rFonts w:ascii="宋体"/>
          <w:sz w:val="28"/>
          <w:szCs w:val="28"/>
        </w:rPr>
      </w:pPr>
      <w:r w:rsidRPr="005E42A1">
        <w:rPr>
          <w:rFonts w:ascii="宋体" w:hAnsi="宋体" w:hint="eastAsia"/>
          <w:sz w:val="28"/>
          <w:szCs w:val="28"/>
        </w:rPr>
        <w:t>各有关企业：</w:t>
      </w:r>
    </w:p>
    <w:p w:rsidR="000A680D" w:rsidRPr="005E42A1" w:rsidRDefault="000A680D" w:rsidP="00D63A8A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</w:t>
      </w:r>
      <w:r w:rsidRPr="005E42A1">
        <w:rPr>
          <w:rFonts w:ascii="宋体" w:hAnsi="宋体" w:hint="eastAsia"/>
          <w:sz w:val="28"/>
          <w:szCs w:val="28"/>
        </w:rPr>
        <w:t>前，非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吊篮在工程应用中占有较大比例，但部分企业对此缺乏足够重视，存在专业人员不到位、专项方案不编制、技术措施不落实、检测把关走过场等问题，给工程安全生产带来较大隐患。为了进一步加强吊篮的使用管理，</w:t>
      </w:r>
      <w:r>
        <w:rPr>
          <w:rFonts w:ascii="宋体" w:hAnsi="宋体" w:hint="eastAsia"/>
          <w:sz w:val="28"/>
          <w:szCs w:val="28"/>
        </w:rPr>
        <w:t>切实消除有关事故隐患</w:t>
      </w:r>
      <w:r w:rsidRPr="005E42A1">
        <w:rPr>
          <w:rFonts w:ascii="宋体" w:hAnsi="宋体" w:hint="eastAsia"/>
          <w:sz w:val="28"/>
          <w:szCs w:val="28"/>
        </w:rPr>
        <w:t>，根据《建筑施工安全</w:t>
      </w:r>
      <w:r>
        <w:rPr>
          <w:rFonts w:ascii="宋体" w:hAnsi="宋体" w:hint="eastAsia"/>
          <w:sz w:val="28"/>
          <w:szCs w:val="28"/>
        </w:rPr>
        <w:t>管理规范》</w:t>
      </w:r>
      <w:r>
        <w:rPr>
          <w:rFonts w:ascii="宋体" w:hAnsi="宋体"/>
          <w:sz w:val="28"/>
          <w:szCs w:val="28"/>
        </w:rPr>
        <w:t>(</w:t>
      </w:r>
      <w:r w:rsidRPr="005E42A1">
        <w:rPr>
          <w:rFonts w:ascii="宋体" w:hAnsi="宋体"/>
          <w:sz w:val="28"/>
          <w:szCs w:val="28"/>
        </w:rPr>
        <w:t>DB33/1116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、《杭州市建筑施工高处作业吊篮安全管理规定》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杭建工发</w:t>
      </w:r>
      <w:r>
        <w:rPr>
          <w:rFonts w:ascii="宋体" w:hAnsi="宋体"/>
          <w:sz w:val="28"/>
          <w:szCs w:val="28"/>
        </w:rPr>
        <w:t>[</w:t>
      </w:r>
      <w:r w:rsidRPr="005E42A1">
        <w:rPr>
          <w:rFonts w:ascii="宋体" w:hAnsi="宋体"/>
          <w:sz w:val="28"/>
          <w:szCs w:val="28"/>
        </w:rPr>
        <w:t>2010</w:t>
      </w:r>
      <w:r>
        <w:rPr>
          <w:rFonts w:ascii="宋体" w:hAnsi="宋体"/>
          <w:sz w:val="28"/>
          <w:szCs w:val="28"/>
        </w:rPr>
        <w:t>]</w:t>
      </w:r>
      <w:r w:rsidRPr="005E42A1">
        <w:rPr>
          <w:rFonts w:ascii="宋体" w:hAnsi="宋体"/>
          <w:sz w:val="28"/>
          <w:szCs w:val="28"/>
        </w:rPr>
        <w:t>382</w:t>
      </w:r>
      <w:r w:rsidRPr="005E42A1">
        <w:rPr>
          <w:rFonts w:ascii="宋体" w:hAnsi="宋体" w:hint="eastAsia"/>
          <w:sz w:val="28"/>
          <w:szCs w:val="28"/>
        </w:rPr>
        <w:t>号文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等有关规定</w:t>
      </w:r>
      <w:r w:rsidRPr="005E42A1">
        <w:rPr>
          <w:rFonts w:ascii="宋体" w:hAnsi="宋体" w:hint="eastAsia"/>
          <w:sz w:val="28"/>
          <w:szCs w:val="28"/>
        </w:rPr>
        <w:t>，现对非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吊篮</w:t>
      </w:r>
      <w:r>
        <w:rPr>
          <w:rFonts w:ascii="宋体" w:hAnsi="宋体" w:hint="eastAsia"/>
          <w:sz w:val="28"/>
          <w:szCs w:val="28"/>
        </w:rPr>
        <w:t>的</w:t>
      </w:r>
      <w:r w:rsidRPr="005E42A1">
        <w:rPr>
          <w:rFonts w:ascii="宋体" w:hAnsi="宋体" w:hint="eastAsia"/>
          <w:sz w:val="28"/>
          <w:szCs w:val="28"/>
        </w:rPr>
        <w:t>使用管理</w:t>
      </w:r>
      <w:r>
        <w:rPr>
          <w:rFonts w:ascii="宋体" w:hAnsi="宋体" w:hint="eastAsia"/>
          <w:sz w:val="28"/>
          <w:szCs w:val="28"/>
        </w:rPr>
        <w:t>提出以下要求</w:t>
      </w:r>
      <w:r w:rsidRPr="005E42A1">
        <w:rPr>
          <w:rFonts w:ascii="宋体" w:hAnsi="宋体" w:hint="eastAsia"/>
          <w:sz w:val="28"/>
          <w:szCs w:val="28"/>
        </w:rPr>
        <w:t>，望各有关企业遵照执行。</w:t>
      </w:r>
    </w:p>
    <w:p w:rsidR="000A680D" w:rsidRPr="005E42A1" w:rsidRDefault="00D63A8A" w:rsidP="005E42A1">
      <w:pPr>
        <w:pStyle w:val="a3"/>
        <w:spacing w:line="600" w:lineRule="exact"/>
        <w:ind w:firstLineChars="0" w:firstLine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0A680D" w:rsidRPr="005E42A1">
        <w:rPr>
          <w:rFonts w:ascii="宋体" w:hAnsi="宋体" w:hint="eastAsia"/>
          <w:b/>
          <w:sz w:val="28"/>
          <w:szCs w:val="28"/>
        </w:rPr>
        <w:t>一、强化方案编制论证，落实各方主体责任</w:t>
      </w:r>
    </w:p>
    <w:p w:rsidR="000A680D" w:rsidRPr="005E42A1" w:rsidRDefault="000A680D" w:rsidP="00D63A8A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5E42A1">
        <w:rPr>
          <w:rFonts w:ascii="宋体" w:hAnsi="宋体" w:hint="eastAsia"/>
          <w:sz w:val="28"/>
          <w:szCs w:val="28"/>
        </w:rPr>
        <w:t>使用</w:t>
      </w:r>
      <w:r>
        <w:rPr>
          <w:rFonts w:ascii="宋体" w:hAnsi="宋体" w:hint="eastAsia"/>
          <w:sz w:val="28"/>
          <w:szCs w:val="28"/>
        </w:rPr>
        <w:t>非标</w:t>
      </w:r>
      <w:r w:rsidRPr="005E42A1">
        <w:rPr>
          <w:rFonts w:ascii="宋体" w:hAnsi="宋体" w:hint="eastAsia"/>
          <w:sz w:val="28"/>
          <w:szCs w:val="28"/>
        </w:rPr>
        <w:t>吊篮（未按制造厂家使用说明书规定安装参数安装的吊篮）必须经原吊篮制造厂进行相应的设计计算，提出安装、</w:t>
      </w:r>
      <w:r>
        <w:rPr>
          <w:rFonts w:ascii="宋体" w:hAnsi="宋体" w:hint="eastAsia"/>
          <w:sz w:val="28"/>
          <w:szCs w:val="28"/>
        </w:rPr>
        <w:t>拆卸、使用方案，并编入吊篮专项施工方案。吊篮专项施工方案</w:t>
      </w:r>
      <w:r w:rsidRPr="005E42A1">
        <w:rPr>
          <w:rFonts w:ascii="宋体" w:hAnsi="宋体" w:hint="eastAsia"/>
          <w:sz w:val="28"/>
          <w:szCs w:val="28"/>
        </w:rPr>
        <w:t>经安装单位、使用单位、施工总承包单位</w:t>
      </w:r>
      <w:r>
        <w:rPr>
          <w:rFonts w:ascii="宋体" w:hAnsi="宋体" w:hint="eastAsia"/>
          <w:sz w:val="28"/>
          <w:szCs w:val="28"/>
        </w:rPr>
        <w:t>和监理单位审核批准，由施工总承包单位组织专家论证后，方可实施。</w:t>
      </w:r>
    </w:p>
    <w:p w:rsidR="000A680D" w:rsidRPr="005E42A1" w:rsidRDefault="000A680D" w:rsidP="00D63A8A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 w:rsidRPr="005E42A1">
        <w:rPr>
          <w:rFonts w:ascii="宋体" w:hAnsi="宋体" w:hint="eastAsia"/>
          <w:sz w:val="28"/>
          <w:szCs w:val="28"/>
        </w:rPr>
        <w:t>专项施工方案应针对</w:t>
      </w:r>
      <w:r>
        <w:rPr>
          <w:rFonts w:ascii="宋体" w:hAnsi="宋体" w:hint="eastAsia"/>
          <w:sz w:val="28"/>
          <w:szCs w:val="28"/>
        </w:rPr>
        <w:t>非标吊篮</w:t>
      </w:r>
      <w:r w:rsidRPr="005E42A1">
        <w:rPr>
          <w:rFonts w:ascii="宋体" w:hAnsi="宋体" w:hint="eastAsia"/>
          <w:sz w:val="28"/>
          <w:szCs w:val="28"/>
        </w:rPr>
        <w:t>进行编制，包括以下内容：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lastRenderedPageBreak/>
        <w:t>1</w:t>
      </w:r>
      <w:r w:rsidRPr="005E42A1">
        <w:rPr>
          <w:rFonts w:ascii="宋体" w:hAnsi="宋体" w:hint="eastAsia"/>
          <w:sz w:val="28"/>
          <w:szCs w:val="28"/>
        </w:rPr>
        <w:t>、工程概况；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2</w:t>
      </w:r>
      <w:r w:rsidRPr="005E42A1">
        <w:rPr>
          <w:rFonts w:ascii="宋体" w:hAnsi="宋体" w:hint="eastAsia"/>
          <w:sz w:val="28"/>
          <w:szCs w:val="28"/>
        </w:rPr>
        <w:t>、编制依据；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3</w:t>
      </w:r>
      <w:r w:rsidRPr="005E42A1">
        <w:rPr>
          <w:rFonts w:ascii="宋体" w:hAnsi="宋体" w:hint="eastAsia"/>
          <w:sz w:val="28"/>
          <w:szCs w:val="28"/>
        </w:rPr>
        <w:t>、作业人员组织和职责；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4</w:t>
      </w:r>
      <w:r w:rsidRPr="005E42A1">
        <w:rPr>
          <w:rFonts w:ascii="宋体" w:hAnsi="宋体" w:hint="eastAsia"/>
          <w:sz w:val="28"/>
          <w:szCs w:val="28"/>
        </w:rPr>
        <w:t>、吊篮安装位置布置、结构立面图和吊篮配置表；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5</w:t>
      </w:r>
      <w:r w:rsidRPr="005E42A1">
        <w:rPr>
          <w:rFonts w:ascii="宋体" w:hAnsi="宋体" w:hint="eastAsia"/>
          <w:sz w:val="28"/>
          <w:szCs w:val="28"/>
        </w:rPr>
        <w:t>、安装方式、结构节点详图和相关计算，安装处结构承载能力复核；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6</w:t>
      </w:r>
      <w:r w:rsidRPr="005E42A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非标</w:t>
      </w:r>
      <w:r w:rsidRPr="005E42A1">
        <w:rPr>
          <w:rFonts w:ascii="宋体" w:hAnsi="宋体" w:hint="eastAsia"/>
          <w:sz w:val="28"/>
          <w:szCs w:val="28"/>
        </w:rPr>
        <w:t>吊篮技术参数和</w:t>
      </w:r>
      <w:r>
        <w:rPr>
          <w:rFonts w:ascii="宋体" w:hAnsi="宋体" w:hint="eastAsia"/>
          <w:sz w:val="28"/>
          <w:szCs w:val="28"/>
        </w:rPr>
        <w:t>非标吊篮</w:t>
      </w:r>
      <w:r w:rsidRPr="005E42A1">
        <w:rPr>
          <w:rFonts w:ascii="宋体" w:hAnsi="宋体" w:hint="eastAsia"/>
          <w:sz w:val="28"/>
          <w:szCs w:val="28"/>
        </w:rPr>
        <w:t>构配件清单；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7</w:t>
      </w:r>
      <w:r w:rsidRPr="005E42A1">
        <w:rPr>
          <w:rFonts w:ascii="宋体" w:hAnsi="宋体" w:hint="eastAsia"/>
          <w:sz w:val="28"/>
          <w:szCs w:val="28"/>
        </w:rPr>
        <w:t>、吊篮的日常检查和定期检查；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8</w:t>
      </w:r>
      <w:r w:rsidRPr="005E42A1">
        <w:rPr>
          <w:rFonts w:ascii="宋体" w:hAnsi="宋体" w:hint="eastAsia"/>
          <w:sz w:val="28"/>
          <w:szCs w:val="28"/>
        </w:rPr>
        <w:t>、安全技术措施；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9</w:t>
      </w:r>
      <w:r w:rsidRPr="005E42A1">
        <w:rPr>
          <w:rFonts w:ascii="宋体" w:hAnsi="宋体" w:hint="eastAsia"/>
          <w:sz w:val="28"/>
          <w:szCs w:val="28"/>
        </w:rPr>
        <w:t>、安装、拆卸步骤与方法；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50" w:firstLine="14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10</w:t>
      </w:r>
      <w:r w:rsidRPr="005E42A1">
        <w:rPr>
          <w:rFonts w:ascii="宋体" w:hAnsi="宋体" w:hint="eastAsia"/>
          <w:sz w:val="28"/>
          <w:szCs w:val="28"/>
        </w:rPr>
        <w:t>、应急预案；</w:t>
      </w:r>
    </w:p>
    <w:p w:rsidR="000A680D" w:rsidRPr="005E42A1" w:rsidRDefault="000A680D" w:rsidP="00D63A8A">
      <w:pPr>
        <w:pStyle w:val="a3"/>
        <w:spacing w:line="600" w:lineRule="exact"/>
        <w:ind w:leftChars="229" w:left="481" w:firstLineChars="50" w:firstLine="14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>11</w:t>
      </w:r>
      <w:r w:rsidRPr="005E42A1">
        <w:rPr>
          <w:rFonts w:ascii="宋体" w:hAnsi="宋体" w:hint="eastAsia"/>
          <w:sz w:val="28"/>
          <w:szCs w:val="28"/>
        </w:rPr>
        <w:t>、附件：安装、拆卸和特殊工种人员岗位证书、方案编制人员职称证书和联系电话等。</w:t>
      </w:r>
    </w:p>
    <w:p w:rsidR="000A680D" w:rsidRPr="005E42A1" w:rsidRDefault="000A680D" w:rsidP="00D63A8A">
      <w:pPr>
        <w:spacing w:line="600" w:lineRule="exact"/>
        <w:ind w:firstLineChars="100" w:firstLine="28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（二）非标</w:t>
      </w:r>
      <w:r w:rsidRPr="005E42A1">
        <w:rPr>
          <w:rFonts w:ascii="宋体" w:hAnsi="宋体" w:hint="eastAsia"/>
          <w:sz w:val="28"/>
          <w:szCs w:val="28"/>
        </w:rPr>
        <w:t>吊篮的设计计算</w:t>
      </w:r>
      <w:r>
        <w:rPr>
          <w:rFonts w:ascii="宋体" w:hAnsi="宋体" w:hint="eastAsia"/>
          <w:sz w:val="28"/>
          <w:szCs w:val="28"/>
        </w:rPr>
        <w:t>、安拆使用方案的编制</w:t>
      </w:r>
      <w:r w:rsidRPr="005E42A1">
        <w:rPr>
          <w:rFonts w:ascii="宋体" w:hAnsi="宋体" w:hint="eastAsia"/>
          <w:sz w:val="28"/>
          <w:szCs w:val="28"/>
        </w:rPr>
        <w:t>必须由</w:t>
      </w:r>
      <w:r>
        <w:rPr>
          <w:rFonts w:ascii="宋体" w:hAnsi="宋体" w:hint="eastAsia"/>
          <w:sz w:val="28"/>
          <w:szCs w:val="28"/>
        </w:rPr>
        <w:t>具备机械或相近专业中级以上职称的人员进行，并由吊篮制造厂家盖章</w:t>
      </w:r>
      <w:r w:rsidRPr="005E42A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编制人</w:t>
      </w:r>
      <w:r w:rsidRPr="005E42A1">
        <w:rPr>
          <w:rFonts w:ascii="宋体" w:hAnsi="宋体" w:hint="eastAsia"/>
          <w:sz w:val="28"/>
          <w:szCs w:val="28"/>
        </w:rPr>
        <w:t>签名。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5E42A1">
        <w:rPr>
          <w:rFonts w:ascii="宋体" w:hAnsi="宋体" w:hint="eastAsia"/>
          <w:sz w:val="28"/>
          <w:szCs w:val="28"/>
        </w:rPr>
        <w:t>骑墙马、附加副篮等成套装置应由吊篮制造厂生产，并由厂家出</w:t>
      </w:r>
      <w:r>
        <w:rPr>
          <w:rFonts w:ascii="宋体" w:hAnsi="宋体" w:hint="eastAsia"/>
          <w:sz w:val="28"/>
          <w:szCs w:val="28"/>
        </w:rPr>
        <w:t>具</w:t>
      </w:r>
      <w:r w:rsidRPr="005E42A1">
        <w:rPr>
          <w:rFonts w:ascii="宋体" w:hAnsi="宋体" w:hint="eastAsia"/>
          <w:sz w:val="28"/>
          <w:szCs w:val="28"/>
        </w:rPr>
        <w:t>产品合格证和使用说明书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成套装置中应有清晰的产品铭牌，工程所用的装置应与资料相符</w:t>
      </w:r>
      <w:r>
        <w:rPr>
          <w:rFonts w:ascii="宋体" w:hAnsi="宋体" w:hint="eastAsia"/>
          <w:sz w:val="28"/>
          <w:szCs w:val="28"/>
        </w:rPr>
        <w:t>。</w:t>
      </w:r>
      <w:r w:rsidRPr="005E42A1">
        <w:rPr>
          <w:rFonts w:ascii="宋体" w:hAnsi="宋体" w:hint="eastAsia"/>
          <w:sz w:val="28"/>
          <w:szCs w:val="28"/>
        </w:rPr>
        <w:t>其它非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吊篮构配件应由吊篮制造厂提供，并具有发货清单和合格证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构配件的规格、</w:t>
      </w:r>
      <w:r>
        <w:rPr>
          <w:rFonts w:ascii="宋体" w:hAnsi="宋体" w:hint="eastAsia"/>
          <w:sz w:val="28"/>
          <w:szCs w:val="28"/>
        </w:rPr>
        <w:t>材料</w:t>
      </w:r>
      <w:r w:rsidRPr="005E42A1">
        <w:rPr>
          <w:rFonts w:ascii="宋体" w:hAnsi="宋体" w:hint="eastAsia"/>
          <w:sz w:val="28"/>
          <w:szCs w:val="28"/>
        </w:rPr>
        <w:t>和数量应与方案相符。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（四）非标</w:t>
      </w:r>
      <w:r w:rsidRPr="005E42A1">
        <w:rPr>
          <w:rFonts w:ascii="宋体" w:hAnsi="宋体" w:hint="eastAsia"/>
          <w:sz w:val="28"/>
          <w:szCs w:val="28"/>
        </w:rPr>
        <w:t>吊篮安装后经安装单位自检合格，报有资质检验单位检验。检验合格后，由吊篮使用各方责任主体单位进行多方联合验收，验收通过后方可使用。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5E42A1">
        <w:rPr>
          <w:rFonts w:ascii="宋体" w:hAnsi="宋体" w:hint="eastAsia"/>
          <w:sz w:val="28"/>
          <w:szCs w:val="28"/>
        </w:rPr>
        <w:t>在非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吊篮的使用期内，吊篮安装单位应组织租赁单位、使用单位实施日常检查和定期检查，并做好检查记录。非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安装部位应作为必查</w:t>
      </w:r>
      <w:r w:rsidRPr="005E42A1">
        <w:rPr>
          <w:rFonts w:ascii="宋体" w:hAnsi="宋体" w:hint="eastAsia"/>
          <w:sz w:val="28"/>
          <w:szCs w:val="28"/>
        </w:rPr>
        <w:lastRenderedPageBreak/>
        <w:t>的项目之一。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Pr="005E42A1">
        <w:rPr>
          <w:rFonts w:ascii="宋体" w:hAnsi="宋体" w:hint="eastAsia"/>
          <w:sz w:val="28"/>
          <w:szCs w:val="28"/>
        </w:rPr>
        <w:t>悬空安装部位应具备检查人员安全到达的条件。</w:t>
      </w:r>
    </w:p>
    <w:p w:rsidR="000A680D" w:rsidRPr="005E42A1" w:rsidRDefault="00D63A8A" w:rsidP="005E42A1">
      <w:pPr>
        <w:spacing w:line="6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0A680D" w:rsidRPr="005E42A1">
        <w:rPr>
          <w:rFonts w:ascii="宋体" w:hAnsi="宋体" w:hint="eastAsia"/>
          <w:b/>
          <w:sz w:val="28"/>
          <w:szCs w:val="28"/>
        </w:rPr>
        <w:t>二、细化标准要求，落实技术保障措施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5E42A1">
        <w:rPr>
          <w:rFonts w:ascii="宋体" w:hAnsi="宋体" w:hint="eastAsia"/>
          <w:sz w:val="28"/>
          <w:szCs w:val="28"/>
        </w:rPr>
        <w:t>悬挂机构与建筑结构钢梁、幕墙龙骨接触的，必须有可靠的绝缘措施。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5E42A1">
        <w:rPr>
          <w:rFonts w:ascii="宋体" w:hAnsi="宋体" w:hint="eastAsia"/>
          <w:sz w:val="28"/>
          <w:szCs w:val="28"/>
        </w:rPr>
        <w:t>悬挂机构采用压板螺杆抱箍固定时，相关受力件的规格应按计算确定。并且，压板厚度不小于</w:t>
      </w:r>
      <w:r w:rsidRPr="005E42A1">
        <w:rPr>
          <w:rFonts w:ascii="宋体" w:hAnsi="宋体"/>
          <w:sz w:val="28"/>
          <w:szCs w:val="28"/>
        </w:rPr>
        <w:t>16mm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螺杆直径不小于</w:t>
      </w:r>
      <w:r w:rsidRPr="005E42A1">
        <w:rPr>
          <w:rFonts w:ascii="宋体" w:hAnsi="宋体"/>
          <w:sz w:val="28"/>
          <w:szCs w:val="28"/>
        </w:rPr>
        <w:t>20mm</w:t>
      </w:r>
      <w:r w:rsidRPr="005E42A1">
        <w:rPr>
          <w:rFonts w:ascii="宋体" w:hAnsi="宋体" w:hint="eastAsia"/>
          <w:sz w:val="28"/>
          <w:szCs w:val="28"/>
        </w:rPr>
        <w:t>。螺杆的螺纹应符合螺纹牙型标准的规定。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5E42A1">
        <w:rPr>
          <w:rFonts w:ascii="宋体" w:hAnsi="宋体" w:hint="eastAsia"/>
          <w:sz w:val="28"/>
          <w:szCs w:val="28"/>
        </w:rPr>
        <w:t>压板螺杆抱箍结构应有防紧固件滑移措施，螺杆应配标准平垫圈和双螺母，且有防螺母脱出措施。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（四）悬挂机构悬臂杆后固定点应采用螺栓连接，因条件受</w:t>
      </w:r>
      <w:r w:rsidRPr="005E42A1">
        <w:rPr>
          <w:rFonts w:ascii="宋体" w:hAnsi="宋体" w:hint="eastAsia"/>
          <w:sz w:val="28"/>
          <w:szCs w:val="28"/>
        </w:rPr>
        <w:t>限确需采用钢丝绳捆绑式固定的，钢丝绳捆绑圈数</w:t>
      </w:r>
      <w:r>
        <w:rPr>
          <w:rFonts w:ascii="宋体" w:hAnsi="宋体" w:hint="eastAsia"/>
          <w:sz w:val="28"/>
          <w:szCs w:val="28"/>
        </w:rPr>
        <w:t>应</w:t>
      </w:r>
      <w:r w:rsidRPr="005E42A1">
        <w:rPr>
          <w:rFonts w:ascii="宋体" w:hAnsi="宋体" w:hint="eastAsia"/>
          <w:sz w:val="28"/>
          <w:szCs w:val="28"/>
        </w:rPr>
        <w:t>不少于</w:t>
      </w:r>
      <w:r w:rsidRPr="005E42A1">
        <w:rPr>
          <w:rFonts w:ascii="宋体" w:hAnsi="宋体"/>
          <w:sz w:val="28"/>
          <w:szCs w:val="28"/>
        </w:rPr>
        <w:t>4</w:t>
      </w:r>
      <w:r w:rsidRPr="005E42A1">
        <w:rPr>
          <w:rFonts w:ascii="宋体" w:hAnsi="宋体" w:hint="eastAsia"/>
          <w:sz w:val="28"/>
          <w:szCs w:val="28"/>
        </w:rPr>
        <w:t>圈，并有</w:t>
      </w:r>
      <w:r w:rsidRPr="005E42A1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圈相互独立，</w:t>
      </w:r>
      <w:r w:rsidRPr="005E42A1">
        <w:rPr>
          <w:rFonts w:ascii="宋体" w:hAnsi="宋体" w:hint="eastAsia"/>
          <w:sz w:val="28"/>
          <w:szCs w:val="28"/>
        </w:rPr>
        <w:t>保证各圈均匀受力。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5E42A1">
        <w:rPr>
          <w:rFonts w:ascii="宋体" w:hAnsi="宋体" w:hint="eastAsia"/>
          <w:sz w:val="28"/>
          <w:szCs w:val="28"/>
        </w:rPr>
        <w:t>悬挂机构应有可靠的防侧向失稳构造措施。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Pr="005E42A1">
        <w:rPr>
          <w:rFonts w:ascii="宋体" w:hAnsi="宋体" w:hint="eastAsia"/>
          <w:sz w:val="28"/>
          <w:szCs w:val="28"/>
        </w:rPr>
        <w:t>悬挂机构安装高度和悬挂机构悬臂杆伸出长度超过说明书规定的，必须有截面加大或保证受压、受弯稳定性的措施。</w:t>
      </w:r>
    </w:p>
    <w:p w:rsidR="000A680D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  <w:r w:rsidRPr="005E42A1">
        <w:rPr>
          <w:rFonts w:ascii="宋体" w:hAnsi="宋体" w:hint="eastAsia"/>
          <w:sz w:val="28"/>
          <w:szCs w:val="28"/>
        </w:rPr>
        <w:t>吊篮安全锁必须</w:t>
      </w:r>
      <w:r>
        <w:rPr>
          <w:rFonts w:ascii="宋体" w:hAnsi="宋体" w:hint="eastAsia"/>
          <w:sz w:val="28"/>
          <w:szCs w:val="28"/>
        </w:rPr>
        <w:t>在有效标定期内使用，有效标定期不大于一年。安全锁的标定检验应由有资质的</w:t>
      </w:r>
      <w:r w:rsidRPr="005E42A1">
        <w:rPr>
          <w:rFonts w:ascii="宋体" w:hAnsi="宋体" w:hint="eastAsia"/>
          <w:sz w:val="28"/>
          <w:szCs w:val="28"/>
        </w:rPr>
        <w:t>检验机构检验，并附有检测标定报告。</w:t>
      </w:r>
    </w:p>
    <w:p w:rsidR="000A680D" w:rsidRPr="00E81122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（八）进入项目现场前，</w:t>
      </w:r>
      <w:r w:rsidRPr="00975DDA">
        <w:rPr>
          <w:rFonts w:ascii="宋体" w:hAnsi="宋体" w:hint="eastAsia"/>
          <w:sz w:val="28"/>
          <w:szCs w:val="28"/>
        </w:rPr>
        <w:t>吊篮（包括常规和非</w:t>
      </w:r>
      <w:r>
        <w:rPr>
          <w:rFonts w:ascii="宋体" w:hAnsi="宋体" w:hint="eastAsia"/>
          <w:sz w:val="28"/>
          <w:szCs w:val="28"/>
        </w:rPr>
        <w:t>标</w:t>
      </w:r>
      <w:r w:rsidRPr="00975DDA">
        <w:rPr>
          <w:rFonts w:ascii="宋体" w:hAnsi="宋体" w:hint="eastAsia"/>
          <w:sz w:val="28"/>
          <w:szCs w:val="28"/>
        </w:rPr>
        <w:t>安装方式）</w:t>
      </w:r>
      <w:r>
        <w:rPr>
          <w:rFonts w:ascii="宋体" w:hAnsi="宋体" w:hint="eastAsia"/>
          <w:sz w:val="28"/>
          <w:szCs w:val="28"/>
        </w:rPr>
        <w:t>所配的安全锁，不管是否属于新出厂或尚在有效标定期内的，均应重新检测，</w:t>
      </w:r>
      <w:r w:rsidRPr="00E81122">
        <w:rPr>
          <w:rFonts w:ascii="宋体" w:hAnsi="宋体" w:hint="eastAsia"/>
          <w:sz w:val="28"/>
          <w:szCs w:val="28"/>
        </w:rPr>
        <w:t>并在</w:t>
      </w:r>
      <w:r>
        <w:rPr>
          <w:rFonts w:ascii="宋体" w:hAnsi="宋体" w:hint="eastAsia"/>
          <w:sz w:val="28"/>
          <w:szCs w:val="28"/>
        </w:rPr>
        <w:t>检测报告中</w:t>
      </w:r>
      <w:r w:rsidRPr="00E81122">
        <w:rPr>
          <w:rFonts w:ascii="宋体" w:hAnsi="宋体" w:hint="eastAsia"/>
          <w:sz w:val="28"/>
          <w:szCs w:val="28"/>
        </w:rPr>
        <w:t>注明工程名称</w:t>
      </w:r>
      <w:r>
        <w:rPr>
          <w:rFonts w:ascii="宋体" w:hAnsi="宋体" w:hint="eastAsia"/>
          <w:sz w:val="28"/>
          <w:szCs w:val="28"/>
        </w:rPr>
        <w:t>。</w:t>
      </w:r>
    </w:p>
    <w:p w:rsidR="000A680D" w:rsidRPr="005E42A1" w:rsidRDefault="00D63A8A" w:rsidP="005E42A1">
      <w:pPr>
        <w:spacing w:line="6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0A680D" w:rsidRPr="005E42A1">
        <w:rPr>
          <w:rFonts w:ascii="宋体" w:hAnsi="宋体" w:hint="eastAsia"/>
          <w:b/>
          <w:sz w:val="28"/>
          <w:szCs w:val="28"/>
        </w:rPr>
        <w:t>三、完善检验检测手段，筑牢安全掌控底线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5E42A1">
        <w:rPr>
          <w:rFonts w:ascii="宋体" w:hAnsi="宋体" w:hint="eastAsia"/>
          <w:sz w:val="28"/>
          <w:szCs w:val="28"/>
        </w:rPr>
        <w:t>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吊篮检验时，应根据安装工况抽取不小于总数</w:t>
      </w:r>
      <w:r w:rsidRPr="005E42A1">
        <w:rPr>
          <w:rFonts w:ascii="宋体" w:hAnsi="宋体"/>
          <w:sz w:val="28"/>
          <w:szCs w:val="28"/>
        </w:rPr>
        <w:t>10%</w:t>
      </w:r>
      <w:r w:rsidRPr="005E42A1">
        <w:rPr>
          <w:rFonts w:ascii="宋体" w:hAnsi="宋体" w:hint="eastAsia"/>
          <w:sz w:val="28"/>
          <w:szCs w:val="28"/>
        </w:rPr>
        <w:t>（至少</w:t>
      </w:r>
      <w:r w:rsidRPr="005E42A1">
        <w:rPr>
          <w:rFonts w:ascii="宋体" w:hAnsi="宋体"/>
          <w:sz w:val="28"/>
          <w:szCs w:val="28"/>
        </w:rPr>
        <w:t>1</w:t>
      </w:r>
      <w:r w:rsidRPr="005E42A1">
        <w:rPr>
          <w:rFonts w:ascii="宋体" w:hAnsi="宋体" w:hint="eastAsia"/>
          <w:sz w:val="28"/>
          <w:szCs w:val="28"/>
        </w:rPr>
        <w:lastRenderedPageBreak/>
        <w:t>台）进行荷载试验，试验时应对悬挂机构固定点进行重点检查。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5E42A1">
        <w:rPr>
          <w:rFonts w:ascii="宋体" w:hAnsi="宋体" w:hint="eastAsia"/>
          <w:sz w:val="28"/>
          <w:szCs w:val="28"/>
        </w:rPr>
        <w:t>非</w:t>
      </w:r>
      <w:r>
        <w:rPr>
          <w:rFonts w:ascii="宋体" w:hAnsi="宋体" w:hint="eastAsia"/>
          <w:sz w:val="28"/>
          <w:szCs w:val="28"/>
        </w:rPr>
        <w:t>标吊篮检验项目除了常规检验项目外，检验报告中应明确吊篮安装形式，</w:t>
      </w:r>
      <w:r w:rsidRPr="005E42A1">
        <w:rPr>
          <w:rFonts w:ascii="宋体" w:hAnsi="宋体" w:hint="eastAsia"/>
          <w:sz w:val="28"/>
          <w:szCs w:val="28"/>
        </w:rPr>
        <w:t>增加与非</w:t>
      </w:r>
      <w:r>
        <w:rPr>
          <w:rFonts w:ascii="宋体" w:hAnsi="宋体" w:hint="eastAsia"/>
          <w:sz w:val="28"/>
          <w:szCs w:val="28"/>
        </w:rPr>
        <w:t>标吊篮</w:t>
      </w:r>
      <w:r w:rsidRPr="005E42A1">
        <w:rPr>
          <w:rFonts w:ascii="宋体" w:hAnsi="宋体" w:hint="eastAsia"/>
          <w:sz w:val="28"/>
          <w:szCs w:val="28"/>
        </w:rPr>
        <w:t>安装方式有关的项目，包括“固定情况、紧固与防松、构配件规格、方案符合性核查、允许载重量”等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并在检验</w:t>
      </w:r>
      <w:r>
        <w:rPr>
          <w:rFonts w:ascii="宋体" w:hAnsi="宋体" w:hint="eastAsia"/>
          <w:sz w:val="28"/>
          <w:szCs w:val="28"/>
        </w:rPr>
        <w:t>报告中载明</w:t>
      </w:r>
      <w:r w:rsidRPr="005E42A1">
        <w:rPr>
          <w:rFonts w:ascii="宋体" w:hAnsi="宋体" w:hint="eastAsia"/>
          <w:sz w:val="28"/>
          <w:szCs w:val="28"/>
        </w:rPr>
        <w:t>非</w:t>
      </w:r>
      <w:r>
        <w:rPr>
          <w:rFonts w:ascii="宋体" w:hAnsi="宋体" w:hint="eastAsia"/>
          <w:sz w:val="28"/>
          <w:szCs w:val="28"/>
        </w:rPr>
        <w:t>标</w:t>
      </w:r>
      <w:r w:rsidRPr="005E42A1">
        <w:rPr>
          <w:rFonts w:ascii="宋体" w:hAnsi="宋体" w:hint="eastAsia"/>
          <w:sz w:val="28"/>
          <w:szCs w:val="28"/>
        </w:rPr>
        <w:t>篮重要安装节点的图像。检验机构应对出具的检验结论负责。</w:t>
      </w:r>
    </w:p>
    <w:p w:rsidR="000A680D" w:rsidRPr="005E42A1" w:rsidRDefault="000A680D" w:rsidP="00D63A8A">
      <w:pPr>
        <w:spacing w:line="6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5E42A1">
        <w:rPr>
          <w:rFonts w:ascii="宋体" w:hAnsi="宋体" w:hint="eastAsia"/>
          <w:sz w:val="28"/>
          <w:szCs w:val="28"/>
        </w:rPr>
        <w:t>吊篮安装检验检测工作是吊篮使用安全管控的重要环节，对检验机构的技术能力、责任心具有很高要求</w:t>
      </w:r>
      <w:r>
        <w:rPr>
          <w:rFonts w:ascii="宋体" w:hAnsi="宋体" w:hint="eastAsia"/>
          <w:sz w:val="28"/>
          <w:szCs w:val="28"/>
        </w:rPr>
        <w:t>。</w:t>
      </w:r>
      <w:r w:rsidRPr="005E42A1">
        <w:rPr>
          <w:rFonts w:ascii="宋体" w:hAnsi="宋体" w:hint="eastAsia"/>
          <w:sz w:val="28"/>
          <w:szCs w:val="28"/>
        </w:rPr>
        <w:t>各相</w:t>
      </w:r>
      <w:r>
        <w:rPr>
          <w:rFonts w:ascii="宋体" w:hAnsi="宋体" w:hint="eastAsia"/>
          <w:sz w:val="28"/>
          <w:szCs w:val="28"/>
        </w:rPr>
        <w:t>关企业应选择责任心强、技术力量足，且具备多年非标吊篮检验经验</w:t>
      </w:r>
      <w:r w:rsidRPr="005E42A1">
        <w:rPr>
          <w:rFonts w:ascii="宋体" w:hAnsi="宋体" w:hint="eastAsia"/>
          <w:sz w:val="28"/>
          <w:szCs w:val="28"/>
        </w:rPr>
        <w:t>的检验机构承担检验业务。</w:t>
      </w:r>
    </w:p>
    <w:p w:rsidR="000A680D" w:rsidRPr="005E42A1" w:rsidRDefault="000A680D" w:rsidP="00D63A8A">
      <w:pPr>
        <w:spacing w:line="600" w:lineRule="exact"/>
        <w:ind w:firstLineChars="227" w:firstLine="636"/>
        <w:rPr>
          <w:rFonts w:ascii="宋体"/>
          <w:sz w:val="28"/>
          <w:szCs w:val="28"/>
        </w:rPr>
      </w:pPr>
      <w:r w:rsidRPr="005E42A1">
        <w:rPr>
          <w:rFonts w:ascii="宋体" w:hAnsi="宋体" w:hint="eastAsia"/>
          <w:sz w:val="28"/>
          <w:szCs w:val="28"/>
        </w:rPr>
        <w:t>各有关责任主体要高度重视高处作业吊篮的日常管理工作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加强内部制度建设，落实机械管理专业人员，严格履行方案编制、论证和审批程序</w:t>
      </w:r>
      <w:r>
        <w:rPr>
          <w:rFonts w:ascii="宋体" w:hAnsi="宋体" w:hint="eastAsia"/>
          <w:sz w:val="28"/>
          <w:szCs w:val="28"/>
        </w:rPr>
        <w:t>，</w:t>
      </w:r>
      <w:r w:rsidRPr="005E42A1">
        <w:rPr>
          <w:rFonts w:ascii="宋体" w:hAnsi="宋体" w:hint="eastAsia"/>
          <w:sz w:val="28"/>
          <w:szCs w:val="28"/>
        </w:rPr>
        <w:t>认</w:t>
      </w:r>
      <w:r>
        <w:rPr>
          <w:rFonts w:ascii="宋体" w:hAnsi="宋体" w:hint="eastAsia"/>
          <w:sz w:val="28"/>
          <w:szCs w:val="28"/>
        </w:rPr>
        <w:t>真执行相关规范和本通知技术管理要求，充分运用好检验检测等管控手段</w:t>
      </w:r>
      <w:r w:rsidRPr="005E42A1">
        <w:rPr>
          <w:rFonts w:ascii="宋体" w:hAnsi="宋体" w:hint="eastAsia"/>
          <w:sz w:val="28"/>
          <w:szCs w:val="28"/>
        </w:rPr>
        <w:t>，进一步推动吊篮安全管理水平更上台阶。</w:t>
      </w:r>
    </w:p>
    <w:p w:rsidR="000A680D" w:rsidRDefault="000A680D" w:rsidP="00D63A8A">
      <w:pPr>
        <w:spacing w:line="600" w:lineRule="exact"/>
        <w:ind w:leftChars="229" w:left="481" w:firstLineChars="200" w:firstLine="56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 xml:space="preserve">                           </w:t>
      </w:r>
    </w:p>
    <w:p w:rsidR="000A680D" w:rsidRDefault="000A680D" w:rsidP="00D63A8A">
      <w:pPr>
        <w:spacing w:line="600" w:lineRule="exact"/>
        <w:ind w:leftChars="229" w:left="481" w:firstLineChars="200" w:firstLine="560"/>
        <w:rPr>
          <w:rFonts w:ascii="宋体"/>
          <w:sz w:val="28"/>
          <w:szCs w:val="28"/>
        </w:rPr>
      </w:pPr>
    </w:p>
    <w:p w:rsidR="000A680D" w:rsidRDefault="000A680D" w:rsidP="00D63A8A">
      <w:pPr>
        <w:spacing w:line="600" w:lineRule="exact"/>
        <w:ind w:leftChars="229" w:left="481" w:firstLineChars="200" w:firstLine="560"/>
        <w:rPr>
          <w:rFonts w:ascii="宋体"/>
          <w:sz w:val="28"/>
          <w:szCs w:val="28"/>
        </w:rPr>
      </w:pPr>
    </w:p>
    <w:p w:rsidR="000A680D" w:rsidRDefault="000A680D" w:rsidP="00D63A8A">
      <w:pPr>
        <w:spacing w:line="600" w:lineRule="exact"/>
        <w:ind w:leftChars="229" w:left="481" w:firstLineChars="200" w:firstLine="560"/>
        <w:rPr>
          <w:rFonts w:ascii="宋体"/>
          <w:sz w:val="28"/>
          <w:szCs w:val="28"/>
        </w:rPr>
      </w:pPr>
    </w:p>
    <w:p w:rsidR="000A680D" w:rsidRDefault="00D63A8A" w:rsidP="00D63A8A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</w:t>
      </w:r>
      <w:r w:rsidR="000A680D" w:rsidRPr="005E42A1">
        <w:rPr>
          <w:rFonts w:ascii="宋体" w:hAnsi="宋体" w:hint="eastAsia"/>
          <w:sz w:val="28"/>
          <w:szCs w:val="28"/>
        </w:rPr>
        <w:t>杭州市建设工程质量安全管理协会</w:t>
      </w:r>
    </w:p>
    <w:p w:rsidR="000A680D" w:rsidRPr="005E42A1" w:rsidRDefault="000A680D" w:rsidP="009D1A4A">
      <w:pPr>
        <w:spacing w:line="600" w:lineRule="exact"/>
        <w:ind w:leftChars="229" w:left="481" w:firstLineChars="200" w:firstLine="560"/>
        <w:rPr>
          <w:rFonts w:ascii="宋体"/>
          <w:sz w:val="28"/>
          <w:szCs w:val="28"/>
        </w:rPr>
      </w:pPr>
      <w:r w:rsidRPr="005E42A1">
        <w:rPr>
          <w:rFonts w:ascii="宋体" w:hAnsi="宋体"/>
          <w:sz w:val="28"/>
          <w:szCs w:val="28"/>
        </w:rPr>
        <w:t xml:space="preserve">    </w:t>
      </w:r>
      <w:r w:rsidR="00D63A8A">
        <w:rPr>
          <w:rFonts w:ascii="宋体" w:hAnsi="宋体"/>
          <w:sz w:val="28"/>
          <w:szCs w:val="28"/>
        </w:rPr>
        <w:t xml:space="preserve">                </w:t>
      </w:r>
      <w:r w:rsidRPr="005E42A1">
        <w:rPr>
          <w:rFonts w:ascii="宋体" w:hAnsi="宋体"/>
          <w:sz w:val="28"/>
          <w:szCs w:val="28"/>
        </w:rPr>
        <w:t>2016</w:t>
      </w:r>
      <w:r w:rsidRPr="005E42A1">
        <w:rPr>
          <w:rFonts w:ascii="宋体" w:hAnsi="宋体" w:hint="eastAsia"/>
          <w:sz w:val="28"/>
          <w:szCs w:val="28"/>
        </w:rPr>
        <w:t>年</w:t>
      </w:r>
      <w:r w:rsidRPr="005E42A1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Pr="005E42A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 w:rsidRPr="005E42A1">
        <w:rPr>
          <w:rFonts w:ascii="宋体" w:hAnsi="宋体" w:hint="eastAsia"/>
          <w:sz w:val="28"/>
          <w:szCs w:val="28"/>
        </w:rPr>
        <w:t>日</w:t>
      </w:r>
    </w:p>
    <w:sectPr w:rsidR="000A680D" w:rsidRPr="005E42A1" w:rsidSect="00435CCF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5F" w:rsidRDefault="0089145F" w:rsidP="00C02CDE">
      <w:r>
        <w:separator/>
      </w:r>
    </w:p>
  </w:endnote>
  <w:endnote w:type="continuationSeparator" w:id="0">
    <w:p w:rsidR="0089145F" w:rsidRDefault="0089145F" w:rsidP="00C0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5F" w:rsidRDefault="0089145F" w:rsidP="00C02CDE">
      <w:r>
        <w:separator/>
      </w:r>
    </w:p>
  </w:footnote>
  <w:footnote w:type="continuationSeparator" w:id="0">
    <w:p w:rsidR="0089145F" w:rsidRDefault="0089145F" w:rsidP="00C02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125B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660A3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A56CEE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DA4B5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B6C73B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1A1F0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DF2184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68A6A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57A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1ABB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47F441E"/>
    <w:multiLevelType w:val="hybridMultilevel"/>
    <w:tmpl w:val="9E9C57D8"/>
    <w:lvl w:ilvl="0" w:tplc="BA3634D8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2A8A202F"/>
    <w:multiLevelType w:val="hybridMultilevel"/>
    <w:tmpl w:val="376A5B34"/>
    <w:lvl w:ilvl="0" w:tplc="4A54EFF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F3F6EB6"/>
    <w:multiLevelType w:val="hybridMultilevel"/>
    <w:tmpl w:val="30FEF9B8"/>
    <w:lvl w:ilvl="0" w:tplc="9BF48C24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AFF"/>
    <w:rsid w:val="00021279"/>
    <w:rsid w:val="00047E48"/>
    <w:rsid w:val="000A0461"/>
    <w:rsid w:val="000A5269"/>
    <w:rsid w:val="000A53E7"/>
    <w:rsid w:val="000A680D"/>
    <w:rsid w:val="000B4114"/>
    <w:rsid w:val="001121E9"/>
    <w:rsid w:val="0013574A"/>
    <w:rsid w:val="00140962"/>
    <w:rsid w:val="00154733"/>
    <w:rsid w:val="00191280"/>
    <w:rsid w:val="00192A0D"/>
    <w:rsid w:val="001A70C3"/>
    <w:rsid w:val="001B41CE"/>
    <w:rsid w:val="001C2324"/>
    <w:rsid w:val="001C2C3B"/>
    <w:rsid w:val="001C6377"/>
    <w:rsid w:val="002049A2"/>
    <w:rsid w:val="0020525A"/>
    <w:rsid w:val="00231F8E"/>
    <w:rsid w:val="00241432"/>
    <w:rsid w:val="00270B7A"/>
    <w:rsid w:val="00272BAD"/>
    <w:rsid w:val="0029113E"/>
    <w:rsid w:val="002A0AB1"/>
    <w:rsid w:val="002C27EE"/>
    <w:rsid w:val="00311DFC"/>
    <w:rsid w:val="003204BD"/>
    <w:rsid w:val="003264BB"/>
    <w:rsid w:val="00374E6A"/>
    <w:rsid w:val="003B1394"/>
    <w:rsid w:val="003B51D6"/>
    <w:rsid w:val="003D7F80"/>
    <w:rsid w:val="003E2F96"/>
    <w:rsid w:val="004255F6"/>
    <w:rsid w:val="00430DD9"/>
    <w:rsid w:val="00435CCF"/>
    <w:rsid w:val="00441817"/>
    <w:rsid w:val="00444B37"/>
    <w:rsid w:val="004618B8"/>
    <w:rsid w:val="0049096B"/>
    <w:rsid w:val="004922B0"/>
    <w:rsid w:val="00496A71"/>
    <w:rsid w:val="004B0490"/>
    <w:rsid w:val="004D1F82"/>
    <w:rsid w:val="004D2AAF"/>
    <w:rsid w:val="004E0E61"/>
    <w:rsid w:val="004F2019"/>
    <w:rsid w:val="00505C2A"/>
    <w:rsid w:val="00543342"/>
    <w:rsid w:val="00546E4E"/>
    <w:rsid w:val="00587F45"/>
    <w:rsid w:val="005C6DB4"/>
    <w:rsid w:val="005D36A7"/>
    <w:rsid w:val="005E42A1"/>
    <w:rsid w:val="005F3DCE"/>
    <w:rsid w:val="006044D9"/>
    <w:rsid w:val="006527E7"/>
    <w:rsid w:val="00676D30"/>
    <w:rsid w:val="00693C38"/>
    <w:rsid w:val="006A4484"/>
    <w:rsid w:val="006C6B73"/>
    <w:rsid w:val="006E59A8"/>
    <w:rsid w:val="00720AFF"/>
    <w:rsid w:val="007D3BF4"/>
    <w:rsid w:val="007F58B4"/>
    <w:rsid w:val="00804CC7"/>
    <w:rsid w:val="0089145F"/>
    <w:rsid w:val="008B4B2B"/>
    <w:rsid w:val="00903417"/>
    <w:rsid w:val="00921C57"/>
    <w:rsid w:val="009228F1"/>
    <w:rsid w:val="00924A4D"/>
    <w:rsid w:val="00975DDA"/>
    <w:rsid w:val="00984B5B"/>
    <w:rsid w:val="009B7908"/>
    <w:rsid w:val="009D1A4A"/>
    <w:rsid w:val="009E0D59"/>
    <w:rsid w:val="009E15E3"/>
    <w:rsid w:val="00A1409E"/>
    <w:rsid w:val="00A328B3"/>
    <w:rsid w:val="00A516E9"/>
    <w:rsid w:val="00A6264E"/>
    <w:rsid w:val="00AD1552"/>
    <w:rsid w:val="00AD5321"/>
    <w:rsid w:val="00AD6427"/>
    <w:rsid w:val="00AE19A3"/>
    <w:rsid w:val="00AE3DB9"/>
    <w:rsid w:val="00B23DA5"/>
    <w:rsid w:val="00B25CEC"/>
    <w:rsid w:val="00B55551"/>
    <w:rsid w:val="00B778B4"/>
    <w:rsid w:val="00BC1A8E"/>
    <w:rsid w:val="00BF54A5"/>
    <w:rsid w:val="00C02CDE"/>
    <w:rsid w:val="00C02D19"/>
    <w:rsid w:val="00C228E3"/>
    <w:rsid w:val="00C36DDA"/>
    <w:rsid w:val="00C45253"/>
    <w:rsid w:val="00C545C9"/>
    <w:rsid w:val="00C61E12"/>
    <w:rsid w:val="00CB42CD"/>
    <w:rsid w:val="00CD48F4"/>
    <w:rsid w:val="00D23B74"/>
    <w:rsid w:val="00D316DD"/>
    <w:rsid w:val="00D35484"/>
    <w:rsid w:val="00D56F81"/>
    <w:rsid w:val="00D63A8A"/>
    <w:rsid w:val="00DB04B9"/>
    <w:rsid w:val="00DD1227"/>
    <w:rsid w:val="00DE26A5"/>
    <w:rsid w:val="00DF16F0"/>
    <w:rsid w:val="00DF61E6"/>
    <w:rsid w:val="00E32168"/>
    <w:rsid w:val="00E81122"/>
    <w:rsid w:val="00E85CC2"/>
    <w:rsid w:val="00EA165E"/>
    <w:rsid w:val="00EC28EC"/>
    <w:rsid w:val="00F1285C"/>
    <w:rsid w:val="00FB2DCF"/>
    <w:rsid w:val="00FB5D09"/>
    <w:rsid w:val="00FE2375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DB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0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02CD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0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02C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295</Words>
  <Characters>1687</Characters>
  <Application>Microsoft Office Word</Application>
  <DocSecurity>0</DocSecurity>
  <Lines>14</Lines>
  <Paragraphs>3</Paragraphs>
  <ScaleCrop>false</ScaleCrop>
  <Company>Sky123.Org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陈安军</dc:creator>
  <cp:keywords/>
  <dc:description/>
  <cp:lastModifiedBy>Administrator</cp:lastModifiedBy>
  <cp:revision>38</cp:revision>
  <cp:lastPrinted>2016-12-06T06:57:00Z</cp:lastPrinted>
  <dcterms:created xsi:type="dcterms:W3CDTF">2016-11-13T11:49:00Z</dcterms:created>
  <dcterms:modified xsi:type="dcterms:W3CDTF">2016-12-06T06:59:00Z</dcterms:modified>
</cp:coreProperties>
</file>